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Editor</w:t>
      </w:r>
      <w:r>
        <w:t xml:space="preserve"> </w:t>
      </w:r>
      <w:r>
        <w:t xml:space="preserve">Platform</w:t>
      </w:r>
      <w:r>
        <w:t xml:space="preserve"> </w:t>
      </w:r>
      <w:r>
        <w:t xml:space="preserve">Performance</w:t>
      </w:r>
      <w:r>
        <w:t xml:space="preserve"> </w:t>
      </w:r>
      <w:r>
        <w:t xml:space="preserve">in</w:t>
      </w:r>
      <w:r>
        <w:t xml:space="preserve"> </w:t>
      </w:r>
      <w:r>
        <w:t xml:space="preserve">China</w:t>
      </w:r>
      <w:r>
        <w:t xml:space="preserve"> </w:t>
      </w:r>
      <w:r>
        <w:t xml:space="preserve">Beijing</w:t>
      </w:r>
    </w:p>
    <w:bookmarkStart w:id="26" w:name="X5d4158b16af64c32d4d8dc2044463715cdf2fc8"/>
    <w:p>
      <w:pPr>
        <w:pStyle w:val="Heading1"/>
      </w:pPr>
      <w:r>
        <w:t xml:space="preserve">Q3 2023 Sales Report: Strategic Growth of Editor Platform in China Beijing Market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the</w:t>
      </w:r>
      <w:r>
        <w:t xml:space="preserve"> </w:t>
      </w:r>
      <w:r>
        <w:rPr>
          <w:iCs/>
          <w:i/>
        </w:rPr>
        <w:t xml:space="preserve">Editor</w:t>
      </w:r>
      <w:r>
        <w:t xml:space="preserve"> </w:t>
      </w:r>
      <w:r>
        <w:t xml:space="preserve">platform across the critical China Beijing market during Q3 2023. The report confirms robust expansion, with Beijing serving as the strategic nerve center for our operations in mainland China. The</w:t>
      </w:r>
      <w:r>
        <w:t xml:space="preserve"> </w:t>
      </w:r>
      <w:r>
        <w:rPr>
          <w:iCs/>
          <w:i/>
        </w:rPr>
        <w:t xml:space="preserve">Editor</w:t>
      </w:r>
      <w:r>
        <w:t xml:space="preserve"> </w:t>
      </w:r>
      <w:r>
        <w:t xml:space="preserve">platform demonstrated exceptional traction, achieving a 17% year-over-year growth in enterprise subscriptions and securing 42 new major contracts within the Beijing metropolitan area alone. This performance underscores</w:t>
      </w:r>
      <w:r>
        <w:t xml:space="preserve"> </w:t>
      </w:r>
      <w:r>
        <w:rPr>
          <w:bCs/>
          <w:b/>
        </w:rPr>
        <w:t xml:space="preserve">Editor</w:t>
      </w:r>
      <w:r>
        <w:t xml:space="preserve">'s increasing relevance as a mission-critical tool for Chinese businesses operating in the capital city, directly contributing to our overall Asia-Pacific sales targets.</w:t>
      </w:r>
    </w:p>
    <w:bookmarkEnd w:id="20"/>
    <w:bookmarkStart w:id="21" w:name="X076acef46cba271c239858533c3726ceb9a00ca"/>
    <w:p>
      <w:pPr>
        <w:pStyle w:val="Heading2"/>
      </w:pPr>
      <w:r>
        <w:t xml:space="preserve">China Beijing: The Strategic Epicenter for Editor Expansion</w:t>
      </w:r>
    </w:p>
    <w:p>
      <w:pPr>
        <w:pStyle w:val="FirstParagraph"/>
      </w:pPr>
      <w:r>
        <w:t xml:space="preserve">Beijing is not merely a market segment; it is the operational and innovation hub driving</w:t>
      </w:r>
      <w:r>
        <w:t xml:space="preserve"> </w:t>
      </w:r>
      <w:r>
        <w:rPr>
          <w:bCs/>
          <w:b/>
        </w:rPr>
        <w:t xml:space="preserve">Editor</w:t>
      </w:r>
      <w:r>
        <w:t xml:space="preserve">'s success in China. As the political, economic, and technological capital of mainland China, Beijing hosts over 70% of Fortune 500 companies' regional headquarters and numerous high-growth technology startups. This concentration makes it the optimal proving ground for</w:t>
      </w:r>
      <w:r>
        <w:t xml:space="preserve"> </w:t>
      </w:r>
      <w:r>
        <w:rPr>
          <w:iCs/>
          <w:i/>
        </w:rPr>
        <w:t xml:space="preserve">Editor</w:t>
      </w:r>
      <w:r>
        <w:t xml:space="preserve">, our AI-powered content management and collaborative editing platform designed specifically for enterprise workflows in regulated Chinese environments.</w:t>
      </w:r>
    </w:p>
    <w:p>
      <w:pPr>
        <w:pStyle w:val="BodyText"/>
      </w:pPr>
      <w:r>
        <w:t xml:space="preserve">The Beijing market demand is fueled by three critical factors: 1) Stringent data sovereignty requirements under China's Personal Information Protection Law (PIPL), where</w:t>
      </w:r>
      <w:r>
        <w:t xml:space="preserve"> </w:t>
      </w:r>
      <w:r>
        <w:rPr>
          <w:bCs/>
          <w:b/>
        </w:rPr>
        <w:t xml:space="preserve">Editor</w:t>
      </w:r>
      <w:r>
        <w:t xml:space="preserve">'s on-premise deployment options are highly valued; 2) The rapid digital transformation wave across government-affiliated entities and state-owned enterprises in Beijing; and 3) The city's vibrant startup ecosystem seeking agile, scalable content solutions. Our localized team in Beijing – comprising over 35 dedicated sales engineers and compliance specialists – has been instrumental in navigating these nuances.</w:t>
      </w:r>
    </w:p>
    <w:bookmarkEnd w:id="21"/>
    <w:bookmarkStart w:id="22" w:name="Xf9ffdf982005c090202840acf00fd5e6263435c"/>
    <w:p>
      <w:pPr>
        <w:pStyle w:val="Heading2"/>
      </w:pPr>
      <w:r>
        <w:t xml:space="preserve">Q3 Sales Performance: Quantifiable Success</w:t>
      </w:r>
    </w:p>
    <w:p>
      <w:pPr>
        <w:pStyle w:val="FirstParagraph"/>
      </w:pPr>
      <w:r>
        <w:t xml:space="preserve">Beijing delivered exceptional results in Q3, accounting for 68% of all China revenue from new enterprise contracts. Key highlights include:</w:t>
      </w:r>
    </w:p>
    <w:p>
      <w:pPr>
        <w:numPr>
          <w:ilvl w:val="0"/>
          <w:numId w:val="1001"/>
        </w:numPr>
        <w:pStyle w:val="Compact"/>
      </w:pPr>
      <w:r>
        <w:rPr>
          <w:bCs/>
          <w:b/>
        </w:rPr>
        <w:t xml:space="preserve">17% YoY Growth:</w:t>
      </w:r>
      <w:r>
        <w:t xml:space="preserve"> </w:t>
      </w:r>
      <w:r>
        <w:t xml:space="preserve">New subscription revenue reached CNY 48.7 million, driven by 32% increase in mid-market enterprise sign-ups (50-500 employees) compared to Q2.</w:t>
      </w:r>
    </w:p>
    <w:p>
      <w:pPr>
        <w:numPr>
          <w:ilvl w:val="0"/>
          <w:numId w:val="1001"/>
        </w:numPr>
        <w:pStyle w:val="Compact"/>
      </w:pPr>
      <w:r>
        <w:rPr>
          <w:bCs/>
          <w:b/>
        </w:rPr>
        <w:t xml:space="preserve">Key Sector Wins:</w:t>
      </w:r>
      <w:r>
        <w:t xml:space="preserve"> </w:t>
      </w:r>
      <w:r>
        <w:t xml:space="preserve">Secure contracts with Beijing Daxing International Airport's communications department, the Capital Medical University Press for textbook publishing workflows, and leading fintech firm Ping An Securities for internal documentation management – all leveraging</w:t>
      </w:r>
      <w:r>
        <w:t xml:space="preserve"> </w:t>
      </w:r>
      <w:r>
        <w:rPr>
          <w:iCs/>
          <w:i/>
        </w:rPr>
        <w:t xml:space="preserve">Editor</w:t>
      </w:r>
      <w:r>
        <w:t xml:space="preserve">'s secure Chinese-language AI features.</w:t>
      </w:r>
    </w:p>
    <w:p>
      <w:pPr>
        <w:numPr>
          <w:ilvl w:val="0"/>
          <w:numId w:val="1001"/>
        </w:numPr>
        <w:pStyle w:val="Compact"/>
      </w:pPr>
      <w:r>
        <w:rPr>
          <w:bCs/>
          <w:b/>
        </w:rPr>
        <w:t xml:space="preserve">Channel Synergy:</w:t>
      </w:r>
      <w:r>
        <w:t xml:space="preserve"> </w:t>
      </w:r>
      <w:r>
        <w:t xml:space="preserve">Partnership with Beijing-based cloud infrastructure provider Tianyi Cloud resulted in a bundled solution that accelerated sales velocity by 28% in the quarter.</w:t>
      </w:r>
    </w:p>
    <w:p>
      <w:pPr>
        <w:numPr>
          <w:ilvl w:val="0"/>
          <w:numId w:val="1001"/>
        </w:numPr>
        <w:pStyle w:val="Compact"/>
      </w:pPr>
      <w:r>
        <w:rPr>
          <w:bCs/>
          <w:b/>
        </w:rPr>
        <w:t xml:space="preserve">Cross-Sell Success:</w:t>
      </w:r>
      <w:r>
        <w:t xml:space="preserve"> </w:t>
      </w:r>
      <w:r>
        <w:t xml:space="preserve">65% of new Beijing customers adopted the premium compliance module, directly addressing China's unique regulatory landscape – a feature prominently marketed within our</w:t>
      </w:r>
      <w:r>
        <w:t xml:space="preserve"> </w:t>
      </w:r>
      <w:r>
        <w:rPr>
          <w:bCs/>
          <w:b/>
        </w:rPr>
        <w:t xml:space="preserve">Sales Report</w:t>
      </w:r>
      <w:r>
        <w:t xml:space="preserve"> </w:t>
      </w:r>
      <w:r>
        <w:t xml:space="preserve">messaging.</w:t>
      </w:r>
    </w:p>
    <w:bookmarkEnd w:id="22"/>
    <w:bookmarkStart w:id="23" w:name="Xf753eaac28fa2742fdc551561df2442e6f18479"/>
    <w:p>
      <w:pPr>
        <w:pStyle w:val="Heading2"/>
      </w:pPr>
      <w:r>
        <w:t xml:space="preserve">Beijing-Specific Market Insights Driving Strategy</w:t>
      </w:r>
    </w:p>
    <w:p>
      <w:pPr>
        <w:pStyle w:val="FirstParagraph"/>
      </w:pPr>
      <w:r>
        <w:t xml:space="preserve">The Beijing market demands tailored solutions that resonate with local business culture and regulations. Our Q3 analysis revealed crucial insights:</w:t>
      </w:r>
    </w:p>
    <w:p>
      <w:pPr>
        <w:numPr>
          <w:ilvl w:val="0"/>
          <w:numId w:val="1002"/>
        </w:numPr>
        <w:pStyle w:val="Compact"/>
      </w:pPr>
      <w:r>
        <w:rPr>
          <w:iCs/>
          <w:i/>
        </w:rPr>
        <w:t xml:space="preserve">Regulatory Alignment is Non-Negotiable:</w:t>
      </w:r>
      <w:r>
        <w:t xml:space="preserve"> </w:t>
      </w:r>
      <w:r>
        <w:t xml:space="preserve">Chinese enterprises prioritize platforms demonstrating full compliance with PIPL, Cyber Security Law, and the National Cryptography Regulations. The Beijing sales team dedicated 40% of their time in Q3 to providing detailed compliance documentation for</w:t>
      </w:r>
      <w:r>
        <w:t xml:space="preserve"> </w:t>
      </w:r>
      <w:r>
        <w:rPr>
          <w:bCs/>
          <w:b/>
        </w:rPr>
        <w:t xml:space="preserve">Editor</w:t>
      </w:r>
      <w:r>
        <w:t xml:space="preserve">, which became the decisive factor in 87% of closed deals.</w:t>
      </w:r>
    </w:p>
    <w:p>
      <w:pPr>
        <w:numPr>
          <w:ilvl w:val="0"/>
          <w:numId w:val="1002"/>
        </w:numPr>
        <w:pStyle w:val="Compact"/>
      </w:pPr>
      <w:r>
        <w:rPr>
          <w:iCs/>
          <w:i/>
        </w:rPr>
        <w:t xml:space="preserve">Cultural Nuances Matter:</w:t>
      </w:r>
      <w:r>
        <w:t xml:space="preserve"> </w:t>
      </w:r>
      <w:r>
        <w:t xml:space="preserve">Unlike global markets, Beijing clients prioritize long-term partnership over transactional sales. Our team implemented quarterly business reviews (QBRs) with key accounts, resulting in a 31% increase in customer retention within the city.</w:t>
      </w:r>
    </w:p>
    <w:p>
      <w:pPr>
        <w:numPr>
          <w:ilvl w:val="0"/>
          <w:numId w:val="1002"/>
        </w:numPr>
        <w:pStyle w:val="Compact"/>
      </w:pPr>
      <w:r>
        <w:rPr>
          <w:iCs/>
          <w:i/>
        </w:rPr>
        <w:t xml:space="preserve">Digital Twin Integration Demand:</w:t>
      </w:r>
      <w:r>
        <w:t xml:space="preserve"> </w:t>
      </w:r>
      <w:r>
        <w:t xml:space="preserve">Leading Beijing firms (e.g., automotive manufacturers and logistics operators) required</w:t>
      </w:r>
      <w:r>
        <w:t xml:space="preserve"> </w:t>
      </w:r>
      <w:r>
        <w:rPr>
          <w:iCs/>
          <w:i/>
        </w:rPr>
        <w:t xml:space="preserve">Editor</w:t>
      </w:r>
      <w:r>
        <w:t xml:space="preserve"> </w:t>
      </w:r>
      <w:r>
        <w:t xml:space="preserve">to integrate seamlessly with their existing industrial digital twin platforms. Our R&amp;D team delivered this capability within 90 days, directly captured in the Q3 sales pipeline.</w:t>
      </w:r>
    </w:p>
    <w:bookmarkEnd w:id="23"/>
    <w:bookmarkStart w:id="24" w:name="Xd5df3e86dcefa2db19d27c69323d60f442bce10"/>
    <w:p>
      <w:pPr>
        <w:pStyle w:val="Heading2"/>
      </w:pPr>
      <w:r>
        <w:t xml:space="preserve">Challenges and Strategic Roadmap for China Beijing</w:t>
      </w:r>
    </w:p>
    <w:p>
      <w:pPr>
        <w:pStyle w:val="FirstParagraph"/>
      </w:pPr>
      <w:r>
        <w:t xml:space="preserve">Despite strong performance, challenges emerged requiring immediate action:</w:t>
      </w:r>
    </w:p>
    <w:p>
      <w:pPr>
        <w:numPr>
          <w:ilvl w:val="0"/>
          <w:numId w:val="1003"/>
        </w:numPr>
        <w:pStyle w:val="Compact"/>
      </w:pPr>
      <w:r>
        <w:rPr>
          <w:bCs/>
          <w:b/>
        </w:rPr>
        <w:t xml:space="preserve">Localization Speed:</w:t>
      </w:r>
      <w:r>
        <w:t xml:space="preserve"> </w:t>
      </w:r>
      <w:r>
        <w:t xml:space="preserve">Some clients requested faster Chinese-language UI updates than our global release cycle. Solution: Establish a dedicated Beijing-based localization squad (launched October 2023) to accelerate feature adaptation.</w:t>
      </w:r>
    </w:p>
    <w:p>
      <w:pPr>
        <w:numPr>
          <w:ilvl w:val="0"/>
          <w:numId w:val="1003"/>
        </w:numPr>
        <w:pStyle w:val="Compact"/>
      </w:pPr>
      <w:r>
        <w:rPr>
          <w:bCs/>
          <w:b/>
        </w:rPr>
        <w:t xml:space="preserve">Competitive Pressure:</w:t>
      </w:r>
      <w:r>
        <w:t xml:space="preserve"> </w:t>
      </w:r>
      <w:r>
        <w:t xml:space="preserve">Traditional publishing tools (e.g., WPS Cloud Edition) gained traction in government contracts. Response: Developed a "Beijing Government Compliance Package" for</w:t>
      </w:r>
      <w:r>
        <w:t xml:space="preserve"> </w:t>
      </w:r>
      <w:r>
        <w:rPr>
          <w:iCs/>
          <w:i/>
        </w:rPr>
        <w:t xml:space="preserve">Editor</w:t>
      </w:r>
      <w:r>
        <w:t xml:space="preserve">, featuring pre-certified security protocols, now driving 25% of new public-sector deals.</w:t>
      </w:r>
    </w:p>
    <w:p>
      <w:pPr>
        <w:numPr>
          <w:ilvl w:val="0"/>
          <w:numId w:val="1003"/>
        </w:numPr>
        <w:pStyle w:val="Compact"/>
      </w:pPr>
      <w:r>
        <w:rPr>
          <w:bCs/>
          <w:b/>
        </w:rPr>
        <w:t xml:space="preserve">Talent Acquisition:</w:t>
      </w:r>
      <w:r>
        <w:t xml:space="preserve"> </w:t>
      </w:r>
      <w:r>
        <w:t xml:space="preserve">High competition for skilled Chinese sales engineers in Beijing. Mitigation: Partnered with Tsinghua University's AI department on a co-branded talent development program.</w:t>
      </w:r>
    </w:p>
    <w:bookmarkEnd w:id="24"/>
    <w:bookmarkStart w:id="25" w:name="X26b8f51602a04ebca30e73a973db5b1a612dc4e"/>
    <w:p>
      <w:pPr>
        <w:pStyle w:val="Heading2"/>
      </w:pPr>
      <w:r>
        <w:t xml:space="preserve">Conclusion: The Beijing Advantage for Editor's Future</w:t>
      </w:r>
    </w:p>
    <w:p>
      <w:pPr>
        <w:pStyle w:val="FirstParagraph"/>
      </w:pPr>
      <w:r>
        <w:t xml:space="preserve">The Q3 2023</w:t>
      </w:r>
      <w:r>
        <w:t xml:space="preserve"> </w:t>
      </w:r>
      <w:r>
        <w:rPr>
          <w:bCs/>
          <w:b/>
        </w:rPr>
        <w:t xml:space="preserve">Sales Report</w:t>
      </w:r>
      <w:r>
        <w:t xml:space="preserve"> </w:t>
      </w:r>
      <w:r>
        <w:t xml:space="preserve">unequivocally confirms Beijing as the linchpin of our China strategy. The city’s unique ecosystem – blending regulatory complexity, innovation density, and high-value enterprise clients – has proven to be the perfect environment for</w:t>
      </w:r>
      <w:r>
        <w:t xml:space="preserve"> </w:t>
      </w:r>
      <w:r>
        <w:rPr>
          <w:iCs/>
          <w:i/>
        </w:rPr>
        <w:t xml:space="preserve">Editor</w:t>
      </w:r>
      <w:r>
        <w:t xml:space="preserve"> </w:t>
      </w:r>
      <w:r>
        <w:t xml:space="preserve">to demonstrate its value proposition. Our success in Beijing is not accidental; it is the result of deep market immersion, localized product adaptation, and a team that speaks both business acumen and Chinese regulatory language fluently.</w:t>
      </w:r>
    </w:p>
    <w:p>
      <w:pPr>
        <w:pStyle w:val="BodyText"/>
      </w:pPr>
      <w:r>
        <w:t xml:space="preserve">Going forward, Beijing will remain the flagship market for our China expansion. The insights from this report will directly inform our 2024 investment plan: doubling down on compliance certifications, expanding the Beijing R&amp;D hub to develop AI models trained specifically on Chinese corporate documentation patterns, and targeting Tier-1 financial institutions headquartered in the capital. As</w:t>
      </w:r>
      <w:r>
        <w:t xml:space="preserve"> </w:t>
      </w:r>
      <w:r>
        <w:rPr>
          <w:bCs/>
          <w:b/>
        </w:rPr>
        <w:t xml:space="preserve">Editor</w:t>
      </w:r>
      <w:r>
        <w:t xml:space="preserve"> </w:t>
      </w:r>
      <w:r>
        <w:t xml:space="preserve">becomes synonymous with secure, intelligent content management for Chinese enterprises, Beijing will continue to be our most strategic market – a proving ground that sets the standard for success across all of China.</w:t>
      </w:r>
    </w:p>
    <w:p>
      <w:pPr>
        <w:pStyle w:val="BodyText"/>
      </w:pPr>
      <w:r>
        <w:rPr>
          <w:iCs/>
          <w:i/>
        </w:rPr>
        <w:t xml:space="preserve">This Sales Report is specifically prepared for leadership review regarding the Editor platform's performance in China Beijing operations. All data reflects Q3 2023 metrics and represents verified enterprise contract values within Beijing metropolitan area boundaries.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Editor Platform Performance in China Beijing</dc:title>
  <dc:creator/>
  <dc:language>en</dc:language>
  <cp:keywords/>
  <dcterms:created xsi:type="dcterms:W3CDTF">2026-07-19T21:04:34Z</dcterms:created>
  <dcterms:modified xsi:type="dcterms:W3CDTF">2026-07-19T21:04:34Z</dcterms:modified>
</cp:coreProperties>
</file>

<file path=docProps/custom.xml><?xml version="1.0" encoding="utf-8"?>
<Properties xmlns="http://schemas.openxmlformats.org/officeDocument/2006/custom-properties" xmlns:vt="http://schemas.openxmlformats.org/officeDocument/2006/docPropsVTypes"/>
</file>