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8" w:name="X9910be64ac51ba9c5b99a4bbb2df22a636b5b2f"/>
    <w:p>
      <w:pPr>
        <w:pStyle w:val="Heading1"/>
      </w:pPr>
      <w:r>
        <w:t xml:space="preserve">Sales Report: Editor Product Performance in Ethiopia Addis Ababa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across the Ethiopian market with specific focus on Addis Ababa, the nation's commercial and technological epicenter. Covering Q3 2023 to Q1 2024, this report demonstrates a remarkable 47% year-on-year growth in Editor sales within Addis Ababa, positioning us as a leading productivity solution provider in Ethiopia's rapidly evolving digital landscape. The success of Editor in Ethiopia Addis Ababa underscores our strategic market entry and localization efforts, with the city accounting for 68% of all sales volume across the country.</w:t>
      </w:r>
    </w:p>
    <w:bookmarkEnd w:id="20"/>
    <w:bookmarkStart w:id="21" w:name="X42005ed669699393fc233f5a1996dde1c5bb177"/>
    <w:p>
      <w:pPr>
        <w:pStyle w:val="Heading2"/>
      </w:pPr>
      <w:r>
        <w:t xml:space="preserve">Market Context: Addis Ababa's Digital Transformation</w:t>
      </w:r>
    </w:p>
    <w:p>
      <w:pPr>
        <w:pStyle w:val="FirstParagraph"/>
      </w:pPr>
      <w:r>
        <w:t xml:space="preserve">Addis Ababa has emerged as Ethiopia's primary hub for technology adoption, driven by government digital initiatives like "Digital Ethiopia 2025" and expanding internet penetration (now at 38% with mobile data growth at 18% YoY). As the economic capital housing over 60% of Ethiopia's corporate sector, Addis Ababa presents a unique opportunity for productivity tools like Editor. This Sales Report confirms that our Editor solution directly addresses critical pain points: document management inefficiencies in government agencies (accounting for 32% of sales) and SMEs (45% of total revenue), where manual editing processes consumed an average of 12 hours weekly per employee.</w:t>
      </w:r>
    </w:p>
    <w:bookmarkEnd w:id="21"/>
    <w:bookmarkStart w:id="22" w:name="editor-sales-performance-highlights"/>
    <w:p>
      <w:pPr>
        <w:pStyle w:val="Heading2"/>
      </w:pPr>
      <w:r>
        <w:t xml:space="preserve">Editor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Period</w:t>
            </w:r>
          </w:p>
        </w:tc>
        <w:tc>
          <w:tcPr/>
          <w:p>
            <w:pPr>
              <w:pStyle w:val="Compact"/>
              <w:jc w:val="left"/>
            </w:pPr>
            <w:r>
              <w:t xml:space="preserve">Sales Volume (Units)</w:t>
            </w:r>
          </w:p>
        </w:tc>
        <w:tc>
          <w:tcPr/>
          <w:p>
            <w:pPr>
              <w:pStyle w:val="Compact"/>
              <w:jc w:val="left"/>
            </w:pPr>
            <w:r>
              <w:t xml:space="preserve">Revenue (ETB)</w:t>
            </w:r>
          </w:p>
        </w:tc>
        <w:tc>
          <w:tcPr/>
          <w:p>
            <w:pPr>
              <w:pStyle w:val="Compact"/>
              <w:jc w:val="left"/>
            </w:pPr>
            <w:r>
              <w:t xml:space="preserve">MRR Growth vs Previous Period</w:t>
            </w:r>
          </w:p>
        </w:tc>
      </w:tr>
      <w:tr>
        <w:tc>
          <w:tcPr/>
          <w:p>
            <w:pPr>
              <w:pStyle w:val="Compact"/>
              <w:jc w:val="left"/>
            </w:pPr>
            <w:r>
              <w:t xml:space="preserve">Q3 2023</w:t>
            </w:r>
          </w:p>
        </w:tc>
        <w:tc>
          <w:tcPr/>
          <w:p>
            <w:pPr>
              <w:pStyle w:val="Compact"/>
              <w:jc w:val="left"/>
            </w:pPr>
            <w:r>
              <w:t xml:space="preserve">1,420</w:t>
            </w:r>
          </w:p>
        </w:tc>
        <w:tc>
          <w:tcPr/>
          <w:p>
            <w:pPr>
              <w:pStyle w:val="Compact"/>
              <w:jc w:val="left"/>
            </w:pPr>
            <w:r>
              <w:t xml:space="preserve">85.8M</w:t>
            </w:r>
          </w:p>
        </w:tc>
        <w:tc>
          <w:tcPr/>
          <w:p>
            <w:pPr>
              <w:pStyle w:val="Compact"/>
              <w:jc w:val="left"/>
            </w:pPr>
            <w:r>
              <w:t xml:space="preserve">-</w:t>
            </w:r>
          </w:p>
        </w:tc>
      </w:tr>
      <w:tr>
        <w:tc>
          <w:tcPr/>
          <w:p>
            <w:pPr>
              <w:pStyle w:val="Compact"/>
              <w:jc w:val="left"/>
            </w:pPr>
            <w:r>
              <w:t xml:space="preserve">Q4 2023</w:t>
            </w:r>
          </w:p>
        </w:tc>
        <w:tc>
          <w:tcPr/>
          <w:p>
            <w:pPr>
              <w:pStyle w:val="Compact"/>
              <w:jc w:val="left"/>
            </w:pPr>
            <w:r>
              <w:t xml:space="preserve">1,975</w:t>
            </w:r>
          </w:p>
        </w:tc>
        <w:tc>
          <w:tcPr/>
          <w:p>
            <w:pPr>
              <w:pStyle w:val="Compact"/>
              <w:jc w:val="left"/>
            </w:pPr>
            <w:r>
              <w:t xml:space="preserve">118.5M</w:t>
            </w:r>
          </w:p>
        </w:tc>
        <w:tc>
          <w:tcPr/>
          <w:p>
            <w:pPr>
              <w:pStyle w:val="Compact"/>
              <w:jc w:val="left"/>
            </w:pPr>
            <w:r>
              <w:t xml:space="preserve">+36.7%</w:t>
            </w:r>
          </w:p>
        </w:tc>
      </w:tr>
      <w:tr>
        <w:tc>
          <w:tcPr/>
          <w:p>
            <w:pPr>
              <w:pStyle w:val="Compact"/>
              <w:jc w:val="left"/>
            </w:pPr>
            <w:r>
              <w:t xml:space="preserve">Q1 2024</w:t>
            </w:r>
          </w:p>
        </w:tc>
        <w:tc>
          <w:tcPr/>
          <w:p>
            <w:pPr>
              <w:pStyle w:val="Compact"/>
              <w:jc w:val="left"/>
            </w:pPr>
            <w:r>
              <w:t xml:space="preserve">2,340</w:t>
            </w:r>
          </w:p>
        </w:tc>
        <w:tc>
          <w:tcPr/>
          <w:p>
            <w:pPr>
              <w:pStyle w:val="Compact"/>
              <w:jc w:val="left"/>
            </w:pPr>
            <w:r>
              <w:t xml:space="preserve">140.4M</w:t>
            </w:r>
          </w:p>
        </w:tc>
        <w:tc>
          <w:tcPr/>
          <w:p>
            <w:pPr>
              <w:pStyle w:val="Compact"/>
              <w:jc w:val="left"/>
            </w:pPr>
            <w:r>
              <w:t xml:space="preserve">+18.5%</w:t>
            </w:r>
          </w:p>
        </w:tc>
      </w:tr>
    </w:tbl>
    <w:p>
      <w:pPr>
        <w:pStyle w:val="BodyText"/>
      </w:pPr>
      <w:r>
        <w:t xml:space="preserve">The consistent upward trajectory in Addis Ababa reflects our strategic pivot toward localized sales channels. We've established 12 authorized resellers across key districts (Bole, Akaki-Kality, and Yeka), with special focus on enterprise contracts for Addis Ababa City Administration's 15 departments. The Editor software suite – featuring multilingual support (Amharic, Oromo, English) and offline functionality for intermittent connectivity – has been adopted by 87% of new government clients in the capital city.</w:t>
      </w:r>
    </w:p>
    <w:bookmarkEnd w:id="22"/>
    <w:bookmarkStart w:id="23" w:name="X63f7d476b313fbe8edb26c86093ab120e2193b4"/>
    <w:p>
      <w:pPr>
        <w:pStyle w:val="Heading2"/>
      </w:pPr>
      <w:r>
        <w:t xml:space="preserve">Customer Success Stories: Ethiopia Addis Ababa Impact</w:t>
      </w:r>
    </w:p>
    <w:p>
      <w:pPr>
        <w:pStyle w:val="FirstParagraph"/>
      </w:pPr>
      <w:r>
        <w:t xml:space="preserve">Case Study 1: Addis Ababa City Administration</w:t>
      </w:r>
      <w:r>
        <w:br/>
      </w:r>
      <w:r>
        <w:t xml:space="preserve">After implementing Editor across their urban planning division, the department reduced document revision cycles by 65% (from 7 days to under 2.4 days). This directly contributed to accelerated infrastructure approval processes in the city's $1.2B Addis Ababa Light Rail expansion project.</w:t>
      </w:r>
    </w:p>
    <w:p>
      <w:pPr>
        <w:pStyle w:val="BodyText"/>
      </w:pPr>
      <w:r>
        <w:t xml:space="preserve">Case Study 2: Ethio Telecom (Addis Ababa Headquarters)</w:t>
      </w:r>
      <w:r>
        <w:br/>
      </w:r>
      <w:r>
        <w:t xml:space="preserve">The telecommunications giant deployed Editor Enterprise for their 450-person customer service team, achieving a 38% decrease in documentation errors and saving an estimated 17,000 labor hours annually. As one department head noted: "Editor has become indispensable for our Ethiopian-language content creation."</w:t>
      </w:r>
    </w:p>
    <w:bookmarkEnd w:id="23"/>
    <w:bookmarkStart w:id="24" w:name="challenges-strategic-adaptations"/>
    <w:p>
      <w:pPr>
        <w:pStyle w:val="Heading2"/>
      </w:pPr>
      <w:r>
        <w:t xml:space="preserve">Challenges &amp; Strategic Adaptations</w:t>
      </w:r>
    </w:p>
    <w:p>
      <w:pPr>
        <w:pStyle w:val="FirstParagraph"/>
      </w:pPr>
      <w:r>
        <w:t xml:space="preserve">Our Sales Report identifies two key challenges specific to Ethiopia Addis Ababa:</w:t>
      </w:r>
    </w:p>
    <w:p>
      <w:pPr>
        <w:numPr>
          <w:ilvl w:val="0"/>
          <w:numId w:val="1001"/>
        </w:numPr>
        <w:pStyle w:val="Compact"/>
      </w:pPr>
      <w:r>
        <w:rPr>
          <w:bCs/>
          <w:b/>
        </w:rPr>
        <w:t xml:space="preserve">Infrastructure Limitations:</w:t>
      </w:r>
      <w:r>
        <w:t xml:space="preserve"> </w:t>
      </w:r>
      <w:r>
        <w:t xml:space="preserve">Unreliable power outages (averaging 14 hours/month in some districts) required us to develop Editor's offline mode with cloud sync upon reconnection. This adaptation directly addressed 76% of initial customer concerns during pilot phase.</w:t>
      </w:r>
    </w:p>
    <w:p>
      <w:pPr>
        <w:numPr>
          <w:ilvl w:val="0"/>
          <w:numId w:val="1001"/>
        </w:numPr>
        <w:pStyle w:val="Compact"/>
      </w:pPr>
      <w:r>
        <w:rPr>
          <w:bCs/>
          <w:b/>
        </w:rPr>
        <w:t xml:space="preserve">Cultural Localization:</w:t>
      </w:r>
      <w:r>
        <w:t xml:space="preserve"> </w:t>
      </w:r>
      <w:r>
        <w:t xml:space="preserve">Initial English-only UI caused confusion among Amharic-speaking staff. The rapid development of Ethiopia-specific localized interfaces – including Amharic keyboard layouts and culturally appropriate templates – increased adoption rates by 53%.</w:t>
      </w:r>
    </w:p>
    <w:bookmarkEnd w:id="24"/>
    <w:bookmarkStart w:id="25" w:name="marketing-strategy-channel-effectiveness"/>
    <w:p>
      <w:pPr>
        <w:pStyle w:val="Heading2"/>
      </w:pPr>
      <w:r>
        <w:t xml:space="preserve">Marketing Strategy &amp; Channel Effectiveness</w:t>
      </w:r>
    </w:p>
    <w:p>
      <w:pPr>
        <w:pStyle w:val="FirstParagraph"/>
      </w:pPr>
      <w:r>
        <w:t xml:space="preserve">Our Addis Ababa marketing strategy centered on three pillars:</w:t>
      </w:r>
    </w:p>
    <w:p>
      <w:pPr>
        <w:numPr>
          <w:ilvl w:val="0"/>
          <w:numId w:val="1002"/>
        </w:numPr>
        <w:pStyle w:val="Compact"/>
      </w:pPr>
      <w:r>
        <w:rPr>
          <w:bCs/>
          <w:b/>
        </w:rPr>
        <w:t xml:space="preserve">Government Partnerships:</w:t>
      </w:r>
      <w:r>
        <w:t xml:space="preserve"> </w:t>
      </w:r>
      <w:r>
        <w:t xml:space="preserve">Co-hosting workshops with Ministry of Technology at the National Innovation Hub (Addis Ababa) generated 32% of new enterprise leads.</w:t>
      </w:r>
    </w:p>
    <w:p>
      <w:pPr>
        <w:numPr>
          <w:ilvl w:val="0"/>
          <w:numId w:val="1002"/>
        </w:numPr>
        <w:pStyle w:val="Compact"/>
      </w:pPr>
      <w:r>
        <w:rPr>
          <w:bCs/>
          <w:b/>
        </w:rPr>
        <w:t xml:space="preserve">SME Targeting:</w:t>
      </w:r>
      <w:r>
        <w:t xml:space="preserve"> </w:t>
      </w:r>
      <w:r>
        <w:t xml:space="preserve">Partnering with Addis Ababa Chamber of Commerce for "Digital Efficiency" certification programs drove 41% of our small business sales.</w:t>
      </w:r>
    </w:p>
    <w:p>
      <w:pPr>
        <w:numPr>
          <w:ilvl w:val="0"/>
          <w:numId w:val="1002"/>
        </w:numPr>
        <w:pStyle w:val="Compact"/>
      </w:pPr>
      <w:r>
        <w:rPr>
          <w:bCs/>
          <w:b/>
        </w:rPr>
        <w:t xml:space="preserve">Community Building:</w:t>
      </w:r>
      <w:r>
        <w:t xml:space="preserve"> </w:t>
      </w:r>
      <w:r>
        <w:t xml:space="preserve">Launching the "Editor Ethiopia User Group" on Telegram (now 2,800 members) enabled peer-to-peer knowledge sharing and accelerated adoption by 27%.</w:t>
      </w:r>
    </w:p>
    <w:bookmarkEnd w:id="25"/>
    <w:bookmarkStart w:id="26" w:name="X9a729be957120994cf8d4f379edb175079cbacc"/>
    <w:p>
      <w:pPr>
        <w:pStyle w:val="Heading2"/>
      </w:pPr>
      <w:r>
        <w:t xml:space="preserve">Future Growth Opportunities in Addis Ababa</w:t>
      </w:r>
    </w:p>
    <w:p>
      <w:pPr>
        <w:pStyle w:val="FirstParagraph"/>
      </w:pPr>
      <w:r>
        <w:t xml:space="preserve">This Sales Report identifies three high-potential growth vectors:</w:t>
      </w:r>
    </w:p>
    <w:p>
      <w:pPr>
        <w:numPr>
          <w:ilvl w:val="0"/>
          <w:numId w:val="1003"/>
        </w:numPr>
        <w:pStyle w:val="Compact"/>
      </w:pPr>
      <w:r>
        <w:rPr>
          <w:bCs/>
          <w:b/>
        </w:rPr>
        <w:t xml:space="preserve">Education Sector Expansion:</w:t>
      </w:r>
      <w:r>
        <w:t xml:space="preserve"> </w:t>
      </w:r>
      <w:r>
        <w:t xml:space="preserve">Partnering with Addis Ababa University to integrate Editor into their digital literacy curriculum could unlock 15,000+ student licenses by 2025.</w:t>
      </w:r>
    </w:p>
    <w:p>
      <w:pPr>
        <w:numPr>
          <w:ilvl w:val="0"/>
          <w:numId w:val="1003"/>
        </w:numPr>
        <w:pStyle w:val="Compact"/>
      </w:pPr>
      <w:r>
        <w:rPr>
          <w:bCs/>
          <w:b/>
        </w:rPr>
        <w:t xml:space="preserve">E-commerce Integration:</w:t>
      </w:r>
      <w:r>
        <w:t xml:space="preserve"> </w:t>
      </w:r>
      <w:r>
        <w:t xml:space="preserve">Developing an Editor plugin for popular Ethiopian e-commerce platforms (like Sheba Mart) targeting the 3.7M Addis Ababa-based online sellers.</w:t>
      </w:r>
    </w:p>
    <w:p>
      <w:pPr>
        <w:numPr>
          <w:ilvl w:val="0"/>
          <w:numId w:val="1003"/>
        </w:numPr>
        <w:pStyle w:val="Compact"/>
      </w:pPr>
      <w:r>
        <w:rPr>
          <w:bCs/>
          <w:b/>
        </w:rPr>
        <w:t xml:space="preserve">Government Digital Transformation:</w:t>
      </w:r>
      <w:r>
        <w:t xml:space="preserve"> </w:t>
      </w:r>
      <w:r>
        <w:t xml:space="preserve">Aligning with Ethiopia's "Digital Public Infrastructure" initiative to become the official editing tool for all federal and city government agencies in Addis Ababa.</w:t>
      </w:r>
    </w:p>
    <w:bookmarkEnd w:id="26"/>
    <w:bookmarkStart w:id="27" w:name="X5062574563fef7da1e1feb588758f88fae5662f"/>
    <w:p>
      <w:pPr>
        <w:pStyle w:val="Heading2"/>
      </w:pPr>
      <w:r>
        <w:t xml:space="preserve">Conclusion: The Editor Imperative in Ethiopia Addis Ababa</w:t>
      </w:r>
    </w:p>
    <w:p>
      <w:pPr>
        <w:pStyle w:val="FirstParagraph"/>
      </w:pPr>
      <w:r>
        <w:t xml:space="preserve">The data presented in this Sales Report unequivocally positions Editor as a catalyst for productivity transformation across Ethiopia's most dynamic market. In Addis Ababa, where business efficiency directly impacts economic growth (contributing to 43% of Ethiopia's GDP), our solution has evolved from being a software tool to an essential business infrastructure component. We project Editor will capture 29% of the enterprise editing software market in Addis Ababa by Q4 2024, up from 18% in Q1 2023.</w:t>
      </w:r>
    </w:p>
    <w:p>
      <w:pPr>
        <w:pStyle w:val="BodyText"/>
      </w:pPr>
      <w:r>
        <w:t xml:space="preserve">As Ethiopia's digital ecosystem matures, our commitment to deepening Ethiopia Addis Ababa market engagement remains paramount. This Sales Report validates that strategic localization – not generic global solutions – is the key to success in Africa's fastest-growing tech market. The Editor product family isn't merely selling software in Addis Ababa; we're enabling a new standard of work for Ethiopia's digital workforce, one document at a time.</w:t>
      </w:r>
    </w:p>
    <w:p>
      <w:pPr>
        <w:pStyle w:val="BodyText"/>
      </w:pPr>
      <w:r>
        <w:rPr>
          <w:iCs/>
          <w:i/>
        </w:rPr>
        <w:t xml:space="preserve">Prepared for Executive Leadership Team | Date: February 28, 2024 | Confidential: Editor Product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Ethiopia Addis Ababa Market Analysis</dc:title>
  <dc:creator/>
  <dc:language>en</dc:language>
  <cp:keywords/>
  <dcterms:created xsi:type="dcterms:W3CDTF">2026-07-20T22:16:40Z</dcterms:created>
  <dcterms:modified xsi:type="dcterms:W3CDTF">2026-07-20T22:16:40Z</dcterms:modified>
</cp:coreProperties>
</file>

<file path=docProps/custom.xml><?xml version="1.0" encoding="utf-8"?>
<Properties xmlns="http://schemas.openxmlformats.org/officeDocument/2006/custom-properties" xmlns:vt="http://schemas.openxmlformats.org/officeDocument/2006/docPropsVTypes"/>
</file>