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Germany</w:t>
      </w:r>
      <w:r>
        <w:t xml:space="preserve"> </w:t>
      </w:r>
      <w:r>
        <w:t xml:space="preserve">Berlin</w:t>
      </w:r>
      <w:r>
        <w:t xml:space="preserve"> </w:t>
      </w:r>
      <w:r>
        <w:t xml:space="preserve">Market</w:t>
      </w:r>
      <w:r>
        <w:t xml:space="preserve"> </w:t>
      </w:r>
      <w:r>
        <w:t xml:space="preserve">Performance</w:t>
      </w:r>
    </w:p>
    <w:bookmarkStart w:id="29" w:name="X7703a502fb50963fc81b15d2c9a5674a0c2e63b"/>
    <w:p>
      <w:pPr>
        <w:pStyle w:val="Heading1"/>
      </w:pPr>
      <w:r>
        <w:t xml:space="preserve">Editor Sales Report: Strategic Market Performance in Germany Berlin (Q3 2023)</w:t>
      </w:r>
    </w:p>
    <w:p>
      <w:pPr>
        <w:pStyle w:val="FirstParagraph"/>
      </w:pPr>
      <w:r>
        <w:t xml:space="preserve">This comprehensive</w:t>
      </w:r>
      <w:r>
        <w:t xml:space="preserve"> </w:t>
      </w:r>
      <w:r>
        <w:rPr>
          <w:bCs/>
          <w:b/>
        </w:rPr>
        <w:t xml:space="preserve">Sales Report</w:t>
      </w:r>
      <w:r>
        <w:t xml:space="preserve"> </w:t>
      </w:r>
      <w:r>
        <w:t xml:space="preserve">details the market performance of our premium content management platform, "Editor," specifically within the dynamic business ecosystem of Germany Berlin. As a critical hub for innovation and digital transformation in Central Europe, Berlin has demonstrated exceptional growth potential for our enterprise-grade editing solution. This document synthesizes sales metrics, customer insights, and strategic recommendations to drive sustained success in this pivotal market.</w:t>
      </w:r>
    </w:p>
    <w:bookmarkStart w:id="20" w:name="X9c51805c8c3f0c278be03b848bbff177f99f6ac"/>
    <w:p>
      <w:pPr>
        <w:pStyle w:val="Heading2"/>
      </w:pPr>
      <w:r>
        <w:t xml:space="preserve">Executive Summary: Editor's Berlin Market Momentum</w:t>
      </w:r>
    </w:p>
    <w:p>
      <w:pPr>
        <w:pStyle w:val="FirstParagraph"/>
      </w:pPr>
      <w:r>
        <w:t xml:space="preserve">The Q3 2023</w:t>
      </w:r>
      <w:r>
        <w:t xml:space="preserve"> </w:t>
      </w:r>
      <w:r>
        <w:rPr>
          <w:bCs/>
          <w:b/>
        </w:rPr>
        <w:t xml:space="preserve">Sales Report</w:t>
      </w:r>
      <w:r>
        <w:t xml:space="preserve"> </w:t>
      </w:r>
      <w:r>
        <w:t xml:space="preserve">reveals a remarkable 47% year-over-year growth for the</w:t>
      </w:r>
      <w:r>
        <w:t xml:space="preserve"> </w:t>
      </w:r>
      <w:r>
        <w:rPr>
          <w:bCs/>
          <w:b/>
        </w:rPr>
        <w:t xml:space="preserve">Editor</w:t>
      </w:r>
      <w:r>
        <w:t xml:space="preserve"> </w:t>
      </w:r>
      <w:r>
        <w:t xml:space="preserve">platform in Germany Berlin, significantly outperforming both regional benchmarks and our global average. This success stems from strategic localization efforts, deepening enterprise partnerships, and alignment with Berlin's thriving startup culture. Total revenue reached €1.85 million during Q3 alone, with a 29% increase in enterprise contracts compared to Q2. Notably, Berlin now represents 34% of our total Germany sales – up from 21% in Q1 2023 – confirming its emergence as a primary growth engine for our German operations.</w:t>
      </w:r>
    </w:p>
    <w:p>
      <w:pPr>
        <w:pStyle w:val="BodyText"/>
      </w:pPr>
      <w:r>
        <w:rPr>
          <w:bCs/>
          <w:b/>
        </w:rPr>
        <w:t xml:space="preserve">Key Berlin-Specific Achievement:</w:t>
      </w:r>
      <w:r>
        <w:t xml:space="preserve"> </w:t>
      </w:r>
      <w:r>
        <w:t xml:space="preserve">Secured a landmark €580,000 contract with Deutsche Telekom's Berlin Innovation Hub, deploying Editor across 12 departments to streamline content workflows for their new digital customer portal. This deal exemplifies how our platform directly addresses Berlin's unique market needs for scalable editorial solutions in telecom and enterprise services.</w:t>
      </w:r>
    </w:p>
    <w:bookmarkEnd w:id="20"/>
    <w:bookmarkStart w:id="21" w:name="Xd83b9513a2ab55cfb18d9ef60d09218a4baff44"/>
    <w:p>
      <w:pPr>
        <w:pStyle w:val="Heading2"/>
      </w:pPr>
      <w:r>
        <w:t xml:space="preserve">Market Dynamics: Why Berlin is a Strategic Imperative</w:t>
      </w:r>
    </w:p>
    <w:p>
      <w:pPr>
        <w:pStyle w:val="FirstParagraph"/>
      </w:pPr>
      <w:r>
        <w:t xml:space="preserve">Germany Berlin operates as a distinct business ecosystem characterized by:</w:t>
      </w:r>
    </w:p>
    <w:p>
      <w:pPr>
        <w:numPr>
          <w:ilvl w:val="0"/>
          <w:numId w:val="1001"/>
        </w:numPr>
        <w:pStyle w:val="Compact"/>
      </w:pPr>
      <w:r>
        <w:rPr>
          <w:bCs/>
          <w:b/>
        </w:rPr>
        <w:t xml:space="preserve">Startup Density:</w:t>
      </w:r>
      <w:r>
        <w:t xml:space="preserve"> </w:t>
      </w:r>
      <w:r>
        <w:t xml:space="preserve">Home to over 4,500 tech startups (Berlin Startup Report 2023), creating immediate demand for agile content management tools like Editor</w:t>
      </w:r>
    </w:p>
    <w:p>
      <w:pPr>
        <w:numPr>
          <w:ilvl w:val="0"/>
          <w:numId w:val="1001"/>
        </w:numPr>
        <w:pStyle w:val="Compact"/>
      </w:pPr>
      <w:r>
        <w:rPr>
          <w:bCs/>
          <w:b/>
        </w:rPr>
        <w:t xml:space="preserve">Digital Transformation Focus:</w:t>
      </w:r>
      <w:r>
        <w:t xml:space="preserve"> </w:t>
      </w:r>
      <w:r>
        <w:t xml:space="preserve">Berlin's "Digital Agenda" prioritizes AI and workflow automation, positioning Editor as a critical enabler for local enterprises</w:t>
      </w:r>
    </w:p>
    <w:p>
      <w:pPr>
        <w:numPr>
          <w:ilvl w:val="0"/>
          <w:numId w:val="1001"/>
        </w:numPr>
        <w:pStyle w:val="Compact"/>
      </w:pPr>
      <w:r>
        <w:rPr>
          <w:bCs/>
          <w:b/>
        </w:rPr>
        <w:t xml:space="preserve">EU Regulatory Alignment:</w:t>
      </w:r>
      <w:r>
        <w:t xml:space="preserve"> </w:t>
      </w:r>
      <w:r>
        <w:t xml:space="preserve">Proximity to EU institutions drives demand for GDPR-compliant editorial solutions, a core feature of our platform</w:t>
      </w:r>
    </w:p>
    <w:p>
      <w:pPr>
        <w:numPr>
          <w:ilvl w:val="0"/>
          <w:numId w:val="1001"/>
        </w:numPr>
        <w:pStyle w:val="Compact"/>
      </w:pPr>
      <w:r>
        <w:rPr>
          <w:bCs/>
          <w:b/>
        </w:rPr>
        <w:t xml:space="preserve">Talent Pool Advantage:</w:t>
      </w:r>
      <w:r>
        <w:t xml:space="preserve"> </w:t>
      </w:r>
      <w:r>
        <w:t xml:space="preserve">Access to 120+ digital media universities (e.g., TU Berlin, HfG), ensuring skilled user adoption for the Editor platform</w:t>
      </w:r>
    </w:p>
    <w:p>
      <w:pPr>
        <w:pStyle w:val="FirstParagraph"/>
      </w:pPr>
      <w:r>
        <w:t xml:space="preserve">This ecosystem has made Berlin the single most profitable metropolitan market for Editor in Germany, with a 58% customer retention rate – significantly higher than our German average of 42%. The city's unique blend of innovation and regulatory sophistication creates an ideal environment for our premium Editor solution to demonstrate value.</w:t>
      </w:r>
    </w:p>
    <w:bookmarkEnd w:id="21"/>
    <w:bookmarkStart w:id="25" w:name="X92fe8014f43529b902e677a105e906958b7525e"/>
    <w:p>
      <w:pPr>
        <w:pStyle w:val="Heading2"/>
      </w:pPr>
      <w:r>
        <w:t xml:space="preserve">Sales Performance Breakdown: Berlin Market Analysis</w:t>
      </w:r>
    </w:p>
    <w:p>
      <w:pPr>
        <w:pStyle w:val="FirstParagraph"/>
      </w:pPr>
      <w:r>
        <w:t xml:space="preserve">Our Berlin sales strategy focuses on three pillars, each delivering exceptional results:</w:t>
      </w:r>
    </w:p>
    <w:bookmarkStart w:id="22" w:name="enterprise-segment-68-of-revenue"/>
    <w:p>
      <w:pPr>
        <w:pStyle w:val="Heading3"/>
      </w:pPr>
      <w:r>
        <w:t xml:space="preserve">1. Enterprise Segment (68% of Revenue)</w:t>
      </w:r>
    </w:p>
    <w:p>
      <w:pPr>
        <w:pStyle w:val="FirstParagraph"/>
      </w:pPr>
      <w:r>
        <w:t xml:space="preserve">Targeting Fortune 500 subsidiaries and major German enterprises with Berlin headquarters (e.g., Siemens Mobility, SAP Innovation Labs). The Editor platform's automated compliance features resonated strongly, driving a 62% increase in deal size compared to Q2. Notable wins include:</w:t>
      </w:r>
    </w:p>
    <w:p>
      <w:pPr>
        <w:numPr>
          <w:ilvl w:val="0"/>
          <w:numId w:val="1002"/>
        </w:numPr>
        <w:pStyle w:val="Compact"/>
      </w:pPr>
      <w:r>
        <w:rPr>
          <w:bCs/>
          <w:b/>
        </w:rPr>
        <w:t xml:space="preserve">Berlin Branding Group:</w:t>
      </w:r>
      <w:r>
        <w:t xml:space="preserve"> </w:t>
      </w:r>
      <w:r>
        <w:t xml:space="preserve">€315,000 contract for multi-language editorial workflows across their European marketing teams</w:t>
      </w:r>
    </w:p>
    <w:p>
      <w:pPr>
        <w:numPr>
          <w:ilvl w:val="0"/>
          <w:numId w:val="1002"/>
        </w:numPr>
        <w:pStyle w:val="Compact"/>
      </w:pPr>
      <w:r>
        <w:rPr>
          <w:bCs/>
          <w:b/>
        </w:rPr>
        <w:t xml:space="preserve">GreenTech Berlin Initiative:</w:t>
      </w:r>
      <w:r>
        <w:t xml:space="preserve"> </w:t>
      </w:r>
      <w:r>
        <w:t xml:space="preserve">€228,000 deployment for content management in sustainable energy projects</w:t>
      </w:r>
    </w:p>
    <w:bookmarkEnd w:id="22"/>
    <w:bookmarkStart w:id="23" w:name="mid-market-segment-25-of-revenue"/>
    <w:p>
      <w:pPr>
        <w:pStyle w:val="Heading3"/>
      </w:pPr>
      <w:r>
        <w:t xml:space="preserve">2. Mid-Market Segment (25% of Revenue)</w:t>
      </w:r>
    </w:p>
    <w:p>
      <w:pPr>
        <w:pStyle w:val="FirstParagraph"/>
      </w:pPr>
      <w:r>
        <w:t xml:space="preserve">Focused on Berlin-based scale-ups like fintech startups and digital agencies. The cloud-native architecture of Editor reduced implementation time by 70%, accelerating sales cycles. Key metric: 89% customer acquisition cost (CAC) efficiency compared to national average.</w:t>
      </w:r>
    </w:p>
    <w:bookmarkEnd w:id="23"/>
    <w:bookmarkStart w:id="24" w:name="smb-segment-7-of-revenue"/>
    <w:p>
      <w:pPr>
        <w:pStyle w:val="Heading3"/>
      </w:pPr>
      <w:r>
        <w:t xml:space="preserve">3. SMB Segment (7% of Revenue)</w:t>
      </w:r>
    </w:p>
    <w:p>
      <w:pPr>
        <w:pStyle w:val="FirstParagraph"/>
      </w:pPr>
      <w:r>
        <w:t xml:space="preserve">Leveraging Berlin's startup incubators (e.g., Factory Berlin, Betahaus) for freemium-to-pro upgrade pathways. 41% of these customers converted to paid plans within 90 days, demonstrating strong product-market fit in the local ecosystem.</w:t>
      </w:r>
    </w:p>
    <w:bookmarkEnd w:id="24"/>
    <w:bookmarkEnd w:id="25"/>
    <w:bookmarkStart w:id="26" w:name="X407e32da1903d24f857fe3dda96ce29657576ca"/>
    <w:p>
      <w:pPr>
        <w:pStyle w:val="Heading2"/>
      </w:pPr>
      <w:r>
        <w:t xml:space="preserve">Customer Success Stories: Editor in Action</w:t>
      </w:r>
    </w:p>
    <w:p>
      <w:pPr>
        <w:pStyle w:val="FirstParagraph"/>
      </w:pPr>
      <w:r>
        <w:t xml:space="preserve">The Berlin market has produced several transformative success stories validating our platform's value:</w:t>
      </w:r>
    </w:p>
    <w:p>
      <w:pPr>
        <w:pStyle w:val="BodyText"/>
      </w:pPr>
      <w:r>
        <w:rPr>
          <w:bCs/>
          <w:b/>
        </w:rPr>
        <w:t xml:space="preserve">"Editor reduced our content approval cycle from 7 days to 90 minutes." – Lena Müller, Head of Content at UrbanMobility GmbH (Berlin-based startup)</w:t>
      </w:r>
      <w:r>
        <w:br/>
      </w:r>
      <w:r>
        <w:t xml:space="preserve">*Implementation: Integrated with their existing CRM system. Result: 213% increase in content output during Berlin's Mobility Week campaign.*</w:t>
      </w:r>
    </w:p>
    <w:p>
      <w:pPr>
        <w:pStyle w:val="BodyText"/>
      </w:pPr>
      <w:r>
        <w:t xml:space="preserve">Another pivotal example is the collaboration with</w:t>
      </w:r>
      <w:r>
        <w:t xml:space="preserve"> </w:t>
      </w:r>
      <w:r>
        <w:rPr>
          <w:iCs/>
          <w:i/>
        </w:rPr>
        <w:t xml:space="preserve">Neue Medien</w:t>
      </w:r>
      <w:r>
        <w:t xml:space="preserve">, Berlin's largest media cooperative, where Editor managed over 12,000 editorial assets across their regional news network – a project that would have been operationally impossible with legacy systems.</w:t>
      </w:r>
    </w:p>
    <w:bookmarkEnd w:id="26"/>
    <w:bookmarkStart w:id="27" w:name="X363add89284d91dcb88566237fbf4de61e1bb93"/>
    <w:p>
      <w:pPr>
        <w:pStyle w:val="Heading2"/>
      </w:pPr>
      <w:r>
        <w:t xml:space="preserve">Challenges and Strategic Responses in Germany Berlin</w:t>
      </w:r>
    </w:p>
    <w:p>
      <w:pPr>
        <w:pStyle w:val="FirstParagraph"/>
      </w:pPr>
      <w:r>
        <w:t xml:space="preserve">We encountered two significant challenges requiring localized solutions:</w:t>
      </w:r>
    </w:p>
    <w:p>
      <w:pPr>
        <w:numPr>
          <w:ilvl w:val="0"/>
          <w:numId w:val="1003"/>
        </w:numPr>
        <w:pStyle w:val="Compact"/>
      </w:pPr>
      <w:r>
        <w:rPr>
          <w:bCs/>
          <w:b/>
        </w:rPr>
        <w:t xml:space="preserve">Cultural Communication Nuances:</w:t>
      </w:r>
      <w:r>
        <w:t xml:space="preserve"> </w:t>
      </w:r>
      <w:r>
        <w:t xml:space="preserve">Initial sales pitches were too technical for German enterprises. Solution: Developed "Berlin Business English" training for our sales team, emphasizing structured proposals and compliance documentation – increasing conversion rates by 37%.</w:t>
      </w:r>
    </w:p>
    <w:p>
      <w:pPr>
        <w:numPr>
          <w:ilvl w:val="0"/>
          <w:numId w:val="1003"/>
        </w:numPr>
        <w:pStyle w:val="Compact"/>
      </w:pPr>
      <w:r>
        <w:rPr>
          <w:bCs/>
          <w:b/>
        </w:rPr>
        <w:t xml:space="preserve">Competitor Local Presence:</w:t>
      </w:r>
      <w:r>
        <w:t xml:space="preserve"> </w:t>
      </w:r>
      <w:r>
        <w:t xml:space="preserve">Rival platforms with Berlin offices. Countermeasure: Launched the "Editor Berlin Ambassador Program," training local influencers (e.g., media professors at Humboldt University) to champion our solution, resulting in a 28% market share gain in enterprise segments.</w:t>
      </w:r>
    </w:p>
    <w:bookmarkEnd w:id="27"/>
    <w:bookmarkStart w:id="28" w:name="Xb6d0faaf5f8a08d8483c5d03466fe57dcdf7f03"/>
    <w:p>
      <w:pPr>
        <w:pStyle w:val="Heading2"/>
      </w:pPr>
      <w:r>
        <w:t xml:space="preserve">Future Outlook: Scaling Editor's Dominance in Germany Berlin</w:t>
      </w:r>
    </w:p>
    <w:p>
      <w:pPr>
        <w:pStyle w:val="FirstParagraph"/>
      </w:pPr>
      <w:r>
        <w:t xml:space="preserve">Based on Q3 performance, we project Berlin will contribute €7.5M to our total Germany sales in 2023 – a 64% increase from 2022. Our strategic roadmap for the region includes:</w:t>
      </w:r>
    </w:p>
    <w:p>
      <w:pPr>
        <w:numPr>
          <w:ilvl w:val="0"/>
          <w:numId w:val="1004"/>
        </w:numPr>
        <w:pStyle w:val="Compact"/>
      </w:pPr>
      <w:r>
        <w:rPr>
          <w:bCs/>
          <w:b/>
        </w:rPr>
        <w:t xml:space="preserve">Localized Compliance Package:</w:t>
      </w:r>
      <w:r>
        <w:t xml:space="preserve"> </w:t>
      </w:r>
      <w:r>
        <w:t xml:space="preserve">Developing GDPR+ features specifically for Berlin's legal landscape by Q1 2024</w:t>
      </w:r>
    </w:p>
    <w:p>
      <w:pPr>
        <w:numPr>
          <w:ilvl w:val="0"/>
          <w:numId w:val="1004"/>
        </w:numPr>
        <w:pStyle w:val="Compact"/>
      </w:pPr>
      <w:r>
        <w:rPr>
          <w:bCs/>
          <w:b/>
        </w:rPr>
        <w:t xml:space="preserve">Berlin Tech Summit Sponsorship:</w:t>
      </w:r>
      <w:r>
        <w:t xml:space="preserve"> </w:t>
      </w:r>
      <w:r>
        <w:t xml:space="preserve">Becoming headline sponsor at the annual "Berlin Tech Week" to showcase Editor in the ecosystem</w:t>
      </w:r>
    </w:p>
    <w:p>
      <w:pPr>
        <w:numPr>
          <w:ilvl w:val="0"/>
          <w:numId w:val="1004"/>
        </w:numPr>
        <w:pStyle w:val="Compact"/>
      </w:pPr>
      <w:r>
        <w:rPr>
          <w:bCs/>
          <w:b/>
        </w:rPr>
        <w:t xml:space="preserve">University Partnership Program:</w:t>
      </w:r>
      <w:r>
        <w:t xml:space="preserve"> </w:t>
      </w:r>
      <w:r>
        <w:t xml:space="preserve">Embedding Editor as a curriculum tool at 5 Berlin universities by end of 2024</w:t>
      </w:r>
    </w:p>
    <w:p>
      <w:pPr>
        <w:pStyle w:val="FirstParagraph"/>
      </w:pPr>
      <w:r>
        <w:t xml:space="preserve">The data is unequivocal: Berlin isn't just another market – it's the engine driving our European expansion. The success of Editor in Germany's capital proves that deep localization, coupled with platform excellence, creates unbeatable market momentum. As we prepare for 2024, all resources will be aligned to leverage Berlin's unique position as the innovation nexus for our entire German operation.</w:t>
      </w:r>
    </w:p>
    <w:p>
      <w:pPr>
        <w:pStyle w:val="BodyText"/>
      </w:pPr>
      <w:r>
        <w:rPr>
          <w:bCs/>
          <w:b/>
        </w:rPr>
        <w:t xml:space="preserve">Final Insight:</w:t>
      </w:r>
      <w:r>
        <w:t xml:space="preserve"> </w:t>
      </w:r>
      <w:r>
        <w:t xml:space="preserve">In a competitive European landscape, Berlin has emerged as Editor's most valuable market. This Sales Report confirms that when our platform meets local needs with precision – as it does in Germany Berlin – sustainable growth becomes the inevitable outcome.</w:t>
      </w:r>
    </w:p>
    <w:p>
      <w:pPr>
        <w:pStyle w:val="BodyText"/>
      </w:pPr>
      <w:r>
        <w:t xml:space="preserve">Sales Report | Editor Platform | Germany Berlin Market Analysis | Q3 2023</w:t>
      </w:r>
    </w:p>
    <w:p>
      <w:pPr>
        <w:pStyle w:val="BodyText"/>
      </w:pPr>
      <w:r>
        <w:t xml:space="preserve">Prepared for Executive Leadership &amp; Regional Strategy Team • Confidential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Germany Berlin Market Performance</dc:title>
  <dc:creator/>
  <dc:language>en</dc:language>
  <cp:keywords/>
  <dcterms:created xsi:type="dcterms:W3CDTF">2026-05-01T13:42:52Z</dcterms:created>
  <dcterms:modified xsi:type="dcterms:W3CDTF">2026-05-01T13:42:52Z</dcterms:modified>
</cp:coreProperties>
</file>

<file path=docProps/custom.xml><?xml version="1.0" encoding="utf-8"?>
<Properties xmlns="http://schemas.openxmlformats.org/officeDocument/2006/custom-properties" xmlns:vt="http://schemas.openxmlformats.org/officeDocument/2006/docPropsVTypes"/>
</file>