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Osaka</w:t>
      </w:r>
      <w:r>
        <w:t xml:space="preserve"> </w:t>
      </w:r>
      <w:r>
        <w:t xml:space="preserve">Sales</w:t>
      </w:r>
      <w:r>
        <w:t xml:space="preserve"> </w:t>
      </w:r>
      <w:r>
        <w:t xml:space="preserve">Report:</w:t>
      </w:r>
      <w:r>
        <w:t xml:space="preserve"> </w:t>
      </w:r>
      <w:r>
        <w:t xml:space="preserve">Editor</w:t>
      </w:r>
      <w:r>
        <w:t xml:space="preserve"> </w:t>
      </w:r>
      <w:r>
        <w:t xml:space="preserve">Platform</w:t>
      </w:r>
      <w:r>
        <w:t xml:space="preserve"> </w:t>
      </w:r>
      <w:r>
        <w:t xml:space="preserve">Performance</w:t>
      </w:r>
    </w:p>
    <w:bookmarkStart w:id="27" w:name="Xfe4153bb1e1b34edae071057a9f7c3587f3ff63"/>
    <w:p>
      <w:pPr>
        <w:pStyle w:val="Heading1"/>
      </w:pPr>
      <w:r>
        <w:t xml:space="preserve">Comprehensive Sales Report: Editor Platform in Japan Osaka Market (Q1-Q3 2023)</w:t>
      </w:r>
    </w:p>
    <w:p>
      <w:pPr>
        <w:pStyle w:val="FirstParagraph"/>
      </w:pPr>
      <w:r>
        <w:rPr>
          <w:bCs/>
          <w:b/>
        </w:rPr>
        <w:t xml:space="preserve">Prepared for Executive Leadership | Date: October 26, 2023</w:t>
      </w:r>
    </w:p>
    <w:bookmarkStart w:id="20" w:name="executive-summary"/>
    <w:p>
      <w:pPr>
        <w:pStyle w:val="Heading2"/>
      </w:pPr>
      <w:r>
        <w:t xml:space="preserve">Executive Summary</w:t>
      </w:r>
    </w:p>
    <w:p>
      <w:pPr>
        <w:pStyle w:val="FirstParagraph"/>
      </w:pPr>
      <w:r>
        <w:t xml:space="preserve">This Sales Report details the performance of our flagship editorial solution,</w:t>
      </w:r>
      <w:r>
        <w:t xml:space="preserve"> </w:t>
      </w:r>
      <w:r>
        <w:rPr>
          <w:iCs/>
          <w:i/>
        </w:rPr>
        <w:t xml:space="preserve">Editor Pro Platform</w:t>
      </w:r>
      <w:r>
        <w:t xml:space="preserve">, across the dynamic Japan Osaka market. Osaka remains a critical growth corridor for enterprise content management solutions in the Kansai region, contributing 18% of our total Japan revenue. The</w:t>
      </w:r>
      <w:r>
        <w:t xml:space="preserve"> </w:t>
      </w:r>
      <w:r>
        <w:rPr>
          <w:bCs/>
          <w:b/>
        </w:rPr>
        <w:t xml:space="preserve">Editor</w:t>
      </w:r>
      <w:r>
        <w:t xml:space="preserve"> </w:t>
      </w:r>
      <w:r>
        <w:t xml:space="preserve">platform demonstrated exceptional traction with 37% year-over-year growth in licensed seats within Japan Osaka, outperforming national averages by 12%. This report underscores strategic wins, regional challenges, and actionable insights for sustained expansion.</w:t>
      </w:r>
    </w:p>
    <w:bookmarkEnd w:id="20"/>
    <w:bookmarkStart w:id="21" w:name="Xc59008020d51358efd05e1378dcf8031edff88b"/>
    <w:p>
      <w:pPr>
        <w:pStyle w:val="Heading2"/>
      </w:pPr>
      <w:r>
        <w:t xml:space="preserve">Market Context: Japan Osaka as a Strategic Hub</w:t>
      </w:r>
    </w:p>
    <w:p>
      <w:pPr>
        <w:pStyle w:val="FirstParagraph"/>
      </w:pPr>
      <w:r>
        <w:t xml:space="preserve">Osaka's business ecosystem presents unique opportunities for editorial technology adoption. As the second-largest economic hub in Japan (after Tokyo), Osaka houses over 15,000 SMEs specializing in publishing, advertising, and manufacturing—sectors with acute needs for collaborative content workflows. The city's "City of Commerce" reputation drives demand for localized solutions that integrate seamlessly with Japanese business practices like</w:t>
      </w:r>
      <w:r>
        <w:t xml:space="preserve"> </w:t>
      </w:r>
      <w:r>
        <w:rPr>
          <w:iCs/>
          <w:i/>
        </w:rPr>
        <w:t xml:space="preserve">nemawashi</w:t>
      </w:r>
      <w:r>
        <w:t xml:space="preserve"> </w:t>
      </w:r>
      <w:r>
        <w:t xml:space="preserve">(consensus-building) and</w:t>
      </w:r>
      <w:r>
        <w:t xml:space="preserve"> </w:t>
      </w:r>
      <w:r>
        <w:rPr>
          <w:iCs/>
          <w:i/>
        </w:rPr>
        <w:t xml:space="preserve">kaizen</w:t>
      </w:r>
      <w:r>
        <w:t xml:space="preserve"> </w:t>
      </w:r>
      <w:r>
        <w:t xml:space="preserve">(continuous improvement). This Sales Report confirms that the</w:t>
      </w:r>
      <w:r>
        <w:t xml:space="preserve"> </w:t>
      </w:r>
      <w:r>
        <w:rPr>
          <w:bCs/>
          <w:b/>
        </w:rPr>
        <w:t xml:space="preserve">Editor</w:t>
      </w:r>
      <w:r>
        <w:t xml:space="preserve"> </w:t>
      </w:r>
      <w:r>
        <w:t xml:space="preserve">platform’s intuitive UI, multilingual support, and compliance with Japan's Act on the Protection of Personal Information (APPI) are key differentiators in Japan Osaka.</w:t>
      </w:r>
    </w:p>
    <w:bookmarkEnd w:id="21"/>
    <w:bookmarkStart w:id="22" w:name="X43e230858909046e7beae2aa6706ee7ebb78711"/>
    <w:p>
      <w:pPr>
        <w:pStyle w:val="Heading2"/>
      </w:pPr>
      <w:r>
        <w:t xml:space="preserve">Sales Performance Highlights: Japan Osaka Focus</w:t>
      </w:r>
    </w:p>
    <w:p>
      <w:pPr>
        <w:pStyle w:val="FirstParagraph"/>
      </w:pPr>
      <w:r>
        <w:t xml:space="preserve">The following metrics reflect</w:t>
      </w:r>
      <w:r>
        <w:t xml:space="preserve"> </w:t>
      </w:r>
      <w:r>
        <w:rPr>
          <w:bCs/>
          <w:b/>
        </w:rPr>
        <w:t xml:space="preserve">Editor</w:t>
      </w:r>
      <w:r>
        <w:t xml:space="preserve">’s market penetration in Osaka Prefecture: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YoY Growth</w:t>
            </w:r>
          </w:p>
        </w:tc>
      </w:tr>
      <w:tr>
        <w:tc>
          <w:tcPr/>
          <w:p>
            <w:pPr>
              <w:pStyle w:val="Compact"/>
              <w:jc w:val="left"/>
            </w:pPr>
            <w:r>
              <w:t xml:space="preserve">Licensed Seats (Osaka)</w:t>
            </w:r>
          </w:p>
        </w:tc>
        <w:tc>
          <w:tcPr/>
          <w:p>
            <w:pPr>
              <w:pStyle w:val="Compact"/>
              <w:jc w:val="left"/>
            </w:pPr>
            <w:r>
              <w:t xml:space="preserve">1,850</w:t>
            </w:r>
          </w:p>
        </w:tc>
        <w:tc>
          <w:tcPr/>
          <w:p>
            <w:pPr>
              <w:pStyle w:val="Compact"/>
              <w:jc w:val="left"/>
            </w:pPr>
            <w:r>
              <w:t xml:space="preserve">2,540</w:t>
            </w:r>
          </w:p>
        </w:tc>
        <w:tc>
          <w:tcPr/>
          <w:p>
            <w:pPr>
              <w:pStyle w:val="Compact"/>
              <w:jc w:val="left"/>
            </w:pPr>
            <w:r>
              <w:t xml:space="preserve">+37.3%</w:t>
            </w:r>
          </w:p>
        </w:tc>
      </w:tr>
      <w:tr>
        <w:tc>
          <w:tcPr/>
          <w:p>
            <w:pPr>
              <w:pStyle w:val="Compact"/>
              <w:jc w:val="left"/>
            </w:pPr>
            <w:r>
              <w:t xml:space="preserve">New Enterprise Clients</w:t>
            </w:r>
          </w:p>
        </w:tc>
        <w:tc>
          <w:tcPr>
            <w:gridSpan w:val="2"/>
          </w:tcPr>
          <w:p>
            <w:pPr>
              <w:pStyle w:val="Compact"/>
              <w:jc w:val="left"/>
            </w:pPr>
            <w:r>
              <w:t xml:space="preserve">18 (Q3)</w:t>
            </w:r>
          </w:p>
        </w:tc>
        <w:tc>
          <w:tcPr/>
          <w:p>
            <w:pPr>
              <w:pStyle w:val="Compact"/>
              <w:jc w:val="left"/>
            </w:pPr>
            <w:r>
              <w:t xml:space="preserve">+42% vs Q2</w:t>
            </w:r>
          </w:p>
        </w:tc>
      </w:tr>
      <w:tr>
        <w:tc>
          <w:tcPr/>
          <w:p>
            <w:pPr>
              <w:pStyle w:val="Compact"/>
              <w:jc w:val="left"/>
            </w:pPr>
            <w:r>
              <w:t xml:space="preserve">Customer Retention Rate</w:t>
            </w:r>
          </w:p>
        </w:tc>
        <w:tc>
          <w:tcPr>
            <w:gridSpan w:val="2"/>
          </w:tcPr>
          <w:p>
            <w:pPr>
              <w:pStyle w:val="Compact"/>
              <w:jc w:val="left"/>
            </w:pPr>
            <w:r>
              <w:t xml:space="preserve">94.7%</w:t>
            </w:r>
          </w:p>
        </w:tc>
        <w:tc>
          <w:tcPr/>
          <w:p>
            <w:pPr>
              <w:pStyle w:val="Compact"/>
              <w:jc w:val="left"/>
            </w:pPr>
            <w:r>
              <w:t xml:space="preserve">+8.5 pts vs 2022</w:t>
            </w:r>
          </w:p>
        </w:tc>
      </w:tr>
      <w:tr>
        <w:tc>
          <w:tcPr/>
          <w:p>
            <w:pPr>
              <w:pStyle w:val="Compact"/>
              <w:jc w:val="left"/>
            </w:pPr>
            <w:r>
              <w:t xml:space="preserve">Revenue Contribution (Osaka)</w:t>
            </w:r>
          </w:p>
        </w:tc>
        <w:tc>
          <w:tcPr>
            <w:gridSpan w:val="2"/>
          </w:tcPr>
          <w:p>
            <w:pPr>
              <w:pStyle w:val="Compact"/>
              <w:jc w:val="left"/>
            </w:pPr>
            <w:r>
              <w:t xml:space="preserve">¥38.6M</w:t>
            </w:r>
          </w:p>
        </w:tc>
        <w:tc>
          <w:tcPr/>
          <w:p>
            <w:pPr>
              <w:pStyle w:val="Compact"/>
              <w:jc w:val="left"/>
            </w:pPr>
            <w:r>
              <w:t xml:space="preserve">+31% YoY</w:t>
            </w:r>
          </w:p>
        </w:tc>
      </w:tr>
    </w:tbl>
    <w:p>
      <w:pPr>
        <w:pStyle w:val="BodyText"/>
      </w:pPr>
      <w:r>
        <w:t xml:space="preserve">The Q3 surge in new clients—particularly among Osaka-based marketing agencies like Dentsu Kansai and WPP Osaka—was driven by our localized onboarding program. Sales teams conducted 27 dedicated workshops in Namba and Umeda districts, addressing Japan-specific pain points: real-time collaboration during business hours (9 AM–5 PM JST), integration with popular Japanese tools (e.g., Line, Slack Japan), and offline editing capabilities for regions with inconsistent connectivity.</w:t>
      </w:r>
    </w:p>
    <w:bookmarkEnd w:id="22"/>
    <w:bookmarkStart w:id="23" w:name="competitive-landscape-analysis"/>
    <w:p>
      <w:pPr>
        <w:pStyle w:val="Heading2"/>
      </w:pPr>
      <w:r>
        <w:t xml:space="preserve">Competitive Landscape Analysis</w:t>
      </w:r>
    </w:p>
    <w:p>
      <w:pPr>
        <w:pStyle w:val="FirstParagraph"/>
      </w:pPr>
      <w:r>
        <w:t xml:space="preserve">Japan Osaka’s editorial software market is highly competitive, dominated by local players like CyberAgent's "EditFlow" and global entrants such as Adobe Express. However, this Sales Report identifies three critical advantages for our</w:t>
      </w:r>
      <w:r>
        <w:t xml:space="preserve"> </w:t>
      </w:r>
      <w:r>
        <w:rPr>
          <w:bCs/>
          <w:b/>
        </w:rPr>
        <w:t xml:space="preserve">Editor</w:t>
      </w:r>
      <w:r>
        <w:t xml:space="preserve">:</w:t>
      </w:r>
    </w:p>
    <w:p>
      <w:pPr>
        <w:numPr>
          <w:ilvl w:val="0"/>
          <w:numId w:val="1001"/>
        </w:numPr>
        <w:pStyle w:val="Compact"/>
      </w:pPr>
      <w:r>
        <w:rPr>
          <w:bCs/>
          <w:b/>
        </w:rPr>
        <w:t xml:space="preserve">Cultural Alignment</w:t>
      </w:r>
      <w:r>
        <w:t xml:space="preserve">: The platform’s built-in compliance modules for Japan’s APPI and GDPR requirements reduced client onboarding time by 40% compared to competitors.</w:t>
      </w:r>
    </w:p>
    <w:p>
      <w:pPr>
        <w:numPr>
          <w:ilvl w:val="0"/>
          <w:numId w:val="1001"/>
        </w:numPr>
        <w:pStyle w:val="Compact"/>
      </w:pPr>
      <w:r>
        <w:rPr>
          <w:bCs/>
          <w:b/>
        </w:rPr>
        <w:t xml:space="preserve">Osaka-Centric Support</w:t>
      </w:r>
      <w:r>
        <w:t xml:space="preserve">: Our dedicated Osaka support hub (staffed with Japanese-speaking engineers) resolved Tier-1 issues in</w:t>
      </w:r>
      <w:r>
        <w:t xml:space="preserve"> </w:t>
      </w:r>
      <w:r>
        <w:rPr>
          <w:iCs/>
          <w:i/>
        </w:rPr>
        <w:t xml:space="preserve">under 2 hours</w:t>
      </w:r>
      <w:r>
        <w:t xml:space="preserve">, outperforming regional average of 8 hours.</w:t>
      </w:r>
    </w:p>
    <w:p>
      <w:pPr>
        <w:numPr>
          <w:ilvl w:val="0"/>
          <w:numId w:val="1001"/>
        </w:numPr>
        <w:pStyle w:val="Compact"/>
      </w:pPr>
      <w:r>
        <w:rPr>
          <w:bCs/>
          <w:b/>
        </w:rPr>
        <w:t xml:space="preserve">SME Pricing Model</w:t>
      </w:r>
      <w:r>
        <w:t xml:space="preserve">: The "Osaka Startup Bundle" (¥49,000/month for up to 5 users) captured market share from budget-focused agencies, contributing to 62% of new Q3 sign-ups.</w:t>
      </w:r>
    </w:p>
    <w:bookmarkEnd w:id="23"/>
    <w:bookmarkStart w:id="24" w:name="challenges-in-japan-osaka-market"/>
    <w:p>
      <w:pPr>
        <w:pStyle w:val="Heading2"/>
      </w:pPr>
      <w:r>
        <w:t xml:space="preserve">Challenges in Japan Osaka Market</w:t>
      </w:r>
    </w:p>
    <w:p>
      <w:pPr>
        <w:pStyle w:val="FirstParagraph"/>
      </w:pPr>
      <w:r>
        <w:t xml:space="preserve">While growth was strong, this Sales Report highlights three challenges requiring immediate attention:</w:t>
      </w:r>
    </w:p>
    <w:p>
      <w:pPr>
        <w:numPr>
          <w:ilvl w:val="0"/>
          <w:numId w:val="1002"/>
        </w:numPr>
        <w:pStyle w:val="Compact"/>
      </w:pPr>
      <w:r>
        <w:rPr>
          <w:bCs/>
          <w:b/>
        </w:rPr>
        <w:t xml:space="preserve">Cultural Nuances</w:t>
      </w:r>
      <w:r>
        <w:t xml:space="preserve">: Early sales pitches focused on technical features instead of relationship-building, causing delays with traditional Osaka firms that prioritize trust over specs. Solution: Revised sales playbook now includes mandatory "relationship discovery" calls before demos.</w:t>
      </w:r>
    </w:p>
    <w:p>
      <w:pPr>
        <w:numPr>
          <w:ilvl w:val="0"/>
          <w:numId w:val="1002"/>
        </w:numPr>
        <w:pStyle w:val="Compact"/>
      </w:pPr>
      <w:r>
        <w:rPr>
          <w:bCs/>
          <w:b/>
        </w:rPr>
        <w:t xml:space="preserve">Regional Competition</w:t>
      </w:r>
      <w:r>
        <w:t xml:space="preserve">: Local vendors like NTT Data’s "EditSync" undercut our pricing by 15% in low-tier packages. Countermeasure: Launched a value-based pricing tier highlighting ROI through reduced editing cycle time (avg. 32% faster workflows).</w:t>
      </w:r>
    </w:p>
    <w:p>
      <w:pPr>
        <w:numPr>
          <w:ilvl w:val="0"/>
          <w:numId w:val="1002"/>
        </w:numPr>
        <w:pStyle w:val="Compact"/>
      </w:pPr>
      <w:r>
        <w:rPr>
          <w:bCs/>
          <w:b/>
        </w:rPr>
        <w:t xml:space="preserve">Infrastructure Gaps</w:t>
      </w:r>
      <w:r>
        <w:t xml:space="preserve">: Some rural Osaka clients struggled with real-time collaboration during typhoon season (common in Q4). Solution: Deployed offline-first mode and regional data caches at Osaka’s IT hubs.</w:t>
      </w:r>
    </w:p>
    <w:bookmarkEnd w:id="24"/>
    <w:bookmarkStart w:id="25" w:name="X377566296dd08de7c588ec5a28c609b2dce2780"/>
    <w:p>
      <w:pPr>
        <w:pStyle w:val="Heading2"/>
      </w:pPr>
      <w:r>
        <w:t xml:space="preserve">Strategic Recommendations for Japan Osaka Expansion</w:t>
      </w:r>
    </w:p>
    <w:p>
      <w:pPr>
        <w:pStyle w:val="FirstParagraph"/>
      </w:pPr>
      <w:r>
        <w:t xml:space="preserve">Based on this Sales Report, we propose the following actions to cement</w:t>
      </w:r>
      <w:r>
        <w:t xml:space="preserve"> </w:t>
      </w:r>
      <w:r>
        <w:rPr>
          <w:bCs/>
          <w:b/>
        </w:rPr>
        <w:t xml:space="preserve">Editor</w:t>
      </w:r>
      <w:r>
        <w:t xml:space="preserve">'s leadership in Japan Osaka:</w:t>
      </w:r>
    </w:p>
    <w:p>
      <w:pPr>
        <w:numPr>
          <w:ilvl w:val="0"/>
          <w:numId w:val="1003"/>
        </w:numPr>
        <w:pStyle w:val="Compact"/>
      </w:pPr>
      <w:r>
        <w:rPr>
          <w:bCs/>
          <w:b/>
        </w:rPr>
        <w:t xml:space="preserve">Establish an Osaka Innovation Lab</w:t>
      </w:r>
      <w:r>
        <w:t xml:space="preserve">: Co-develop features with key clients (e.g., integration with Kansai Express Railway’s content system) to drive co-creation and exclusivity.</w:t>
      </w:r>
    </w:p>
    <w:p>
      <w:pPr>
        <w:numPr>
          <w:ilvl w:val="0"/>
          <w:numId w:val="1003"/>
        </w:numPr>
        <w:pStyle w:val="Compact"/>
      </w:pPr>
      <w:r>
        <w:rPr>
          <w:bCs/>
          <w:b/>
        </w:rPr>
        <w:t xml:space="preserve">Expand Partner Network</w:t>
      </w:r>
      <w:r>
        <w:t xml:space="preserve">: Forge alliances with Osaka-based IT consultancies like SoftBank Group’s Kansai division for bundled solutions targeting manufacturing clients.</w:t>
      </w:r>
    </w:p>
    <w:p>
      <w:pPr>
        <w:numPr>
          <w:ilvl w:val="0"/>
          <w:numId w:val="1003"/>
        </w:numPr>
        <w:pStyle w:val="Compact"/>
      </w:pPr>
      <w:r>
        <w:rPr>
          <w:bCs/>
          <w:b/>
        </w:rPr>
        <w:t xml:space="preserve">Leverage Osaka Business Events</w:t>
      </w:r>
      <w:r>
        <w:t xml:space="preserve">: Sponsor the annual "Osaka Media Summit" to showcase case studies (e.g., how Matsushita Electric improved content turnaround by 50% using</w:t>
      </w:r>
      <w:r>
        <w:t xml:space="preserve"> </w:t>
      </w:r>
      <w:r>
        <w:rPr>
          <w:bCs/>
          <w:b/>
        </w:rPr>
        <w:t xml:space="preserve">Editor</w:t>
      </w:r>
      <w:r>
        <w:t xml:space="preserve">).</w:t>
      </w:r>
    </w:p>
    <w:bookmarkEnd w:id="25"/>
    <w:bookmarkStart w:id="26" w:name="Xa157b8f6049c8c32e45eed259bab6eaa1d2d290"/>
    <w:p>
      <w:pPr>
        <w:pStyle w:val="Heading2"/>
      </w:pPr>
      <w:r>
        <w:t xml:space="preserve">Conclusion: Why Japan Osaka is Non-Negotiable</w:t>
      </w:r>
    </w:p>
    <w:p>
      <w:pPr>
        <w:pStyle w:val="FirstParagraph"/>
      </w:pPr>
      <w:r>
        <w:t xml:space="preserve">The data in this Sales Report leaves no doubt: Japan Osaka isn’t just a regional market—it’s a strategic bellwether for success across all of Asia. The 37% growth rate in the Kansai region validates our product-market fit, while the deepening client relationships reflect how well</w:t>
      </w:r>
      <w:r>
        <w:t xml:space="preserve"> </w:t>
      </w:r>
      <w:r>
        <w:rPr>
          <w:bCs/>
          <w:b/>
        </w:rPr>
        <w:t xml:space="preserve">Editor</w:t>
      </w:r>
      <w:r>
        <w:t xml:space="preserve"> </w:t>
      </w:r>
      <w:r>
        <w:t xml:space="preserve">adapts to Japanese business culture. As we enter Q4, we will channel Osaka’s momentum into nationwide expansion with a playbook refined by Japan Osaka’s unique demands. For enterprise content management in Japan, mastering Osaka is the key to unlocking the entire market.</w:t>
      </w:r>
    </w:p>
    <w:p>
      <w:pPr>
        <w:pStyle w:val="BodyText"/>
      </w:pPr>
      <w:r>
        <w:rPr>
          <w:iCs/>
          <w:i/>
        </w:rPr>
        <w:t xml:space="preserve">This Sales Report concludes that our investment in localized</w:t>
      </w:r>
      <w:r>
        <w:rPr>
          <w:iCs/>
          <w:i/>
        </w:rPr>
        <w:t xml:space="preserve"> </w:t>
      </w:r>
      <w:r>
        <w:rPr>
          <w:bCs/>
          <w:b/>
          <w:iCs/>
          <w:i/>
        </w:rPr>
        <w:t xml:space="preserve">Editor</w:t>
      </w:r>
      <w:r>
        <w:rPr>
          <w:iCs/>
          <w:i/>
        </w:rPr>
        <w:t xml:space="preserve"> </w:t>
      </w:r>
      <w:r>
        <w:rPr>
          <w:iCs/>
          <w:i/>
        </w:rPr>
        <w:t xml:space="preserve">strategy within Japan Osaka has delivered exceptional returns and sets a benchmark for global operations. The path forward is clear: double down on Osaka’s growth engine to fuel worldwide scalability.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Osaka Sales Report: Editor Platform Performance</dc:title>
  <dc:creator/>
  <dc:language>en</dc:language>
  <cp:keywords/>
  <dcterms:created xsi:type="dcterms:W3CDTF">2026-07-21T11:40:44Z</dcterms:created>
  <dcterms:modified xsi:type="dcterms:W3CDTF">2026-07-21T11:40:44Z</dcterms:modified>
</cp:coreProperties>
</file>

<file path=docProps/custom.xml><?xml version="1.0" encoding="utf-8"?>
<Properties xmlns="http://schemas.openxmlformats.org/officeDocument/2006/custom-properties" xmlns:vt="http://schemas.openxmlformats.org/officeDocument/2006/docPropsVTypes"/>
</file>