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Japan</w:t>
      </w:r>
      <w:r>
        <w:t xml:space="preserve"> </w:t>
      </w:r>
      <w:r>
        <w:t xml:space="preserve">Tokyo</w:t>
      </w:r>
      <w:r>
        <w:t xml:space="preserve"> </w:t>
      </w:r>
      <w:r>
        <w:t xml:space="preserve">Market</w:t>
      </w:r>
      <w:r>
        <w:t xml:space="preserve"> </w:t>
      </w:r>
      <w:r>
        <w:t xml:space="preserve">Performance</w:t>
      </w:r>
    </w:p>
    <w:bookmarkStart w:id="28" w:name="X02f12700d6b7e2715ab3a144be2a5b5e10726fd"/>
    <w:p>
      <w:pPr>
        <w:pStyle w:val="Heading1"/>
      </w:pPr>
      <w:r>
        <w:t xml:space="preserve">Quarterly Sales Report: Editor Product Performance in Japan Tokyo Market</w:t>
      </w:r>
    </w:p>
    <w:bookmarkStart w:id="20" w:name="executive-summary"/>
    <w:p>
      <w:pPr>
        <w:pStyle w:val="Heading2"/>
      </w:pPr>
      <w:r>
        <w:t xml:space="preserve">Executive Summary</w:t>
      </w:r>
    </w:p>
    <w:p>
      <w:pPr>
        <w:pStyle w:val="FirstParagraph"/>
      </w:pPr>
      <w:r>
        <w:t xml:space="preserve">This comprehensive Sales Report details the performance of our flagship product, Editor, within the Japan Tokyo market during Q3 2023. As a leading enterprise-grade document collaboration platform, Editor has demonstrated significant traction in Tokyo's dynamic business ecosystem. The report highlights a 18% year-over-year revenue growth specifically for Tokyo operations, with total sales reaching ¥450 million ($3 million USD) – marking the highest quarterly performance in our Japan market history. This success underscores Editor's strategic alignment with Tokyo's digital transformation priorities and its unique value proposition for Japanese enterprises navigating complex compliance landscapes.</w:t>
      </w:r>
    </w:p>
    <w:bookmarkEnd w:id="20"/>
    <w:bookmarkStart w:id="21" w:name="market-context-why-editor-in-japan-tokyo"/>
    <w:p>
      <w:pPr>
        <w:pStyle w:val="Heading2"/>
      </w:pPr>
      <w:r>
        <w:t xml:space="preserve">Market Context: Why Editor in Japan Tokyo?</w:t>
      </w:r>
    </w:p>
    <w:p>
      <w:pPr>
        <w:pStyle w:val="FirstParagraph"/>
      </w:pPr>
      <w:r>
        <w:t xml:space="preserve">Japan Tokyo represents a $12.7 billion enterprise software market where document management efficiency directly impacts competitiveness. As the nation's primary economic hub housing 38% of Japan's Fortune Global 500 headquarters, Tokyo businesses prioritize tools that enhance precision, security, and cultural alignment. Editor has become synonymous with "precision editing" in Japanese business vernacular – a term our localization team strategically embedded into our Tokyo marketing campaign ("Editor: The Precision Tool for Tokyo's Demanding Markets"). Unlike generic Western alternatives, Editor offers native JIS Q 27001 compliance, kanji-friendly workflows, and seamless integration with popular local platforms like Line Business and Microsoft Teams Japan.</w:t>
      </w:r>
    </w:p>
    <w:bookmarkEnd w:id="21"/>
    <w:bookmarkStart w:id="22" w:name="Xbb35198613481ed9aacabf55de4b5b405a791dd"/>
    <w:p>
      <w:pPr>
        <w:pStyle w:val="Heading2"/>
      </w:pPr>
      <w:r>
        <w:t xml:space="preserve">Key Performance Metrics: Tokyo Market Focus</w:t>
      </w:r>
    </w:p>
    <w:p>
      <w:pPr>
        <w:pStyle w:val="FirstParagraph"/>
      </w:pPr>
      <w:r>
        <w:t xml:space="preserve">Performance Indicator</w:t>
      </w:r>
    </w:p>
    <w:bookmarkEnd w:id="22"/>
    <w:p>
      <w:pPr>
        <w:pStyle w:val="BodyText"/>
      </w:pPr>
      <w:r>
        <w:t xml:space="preserve">Q3 2023 (Tokyo)</w:t>
      </w:r>
    </w:p>
    <w:p>
      <w:pPr>
        <w:pStyle w:val="BodyText"/>
      </w:pPr>
      <w:r>
        <w:t xml:space="preserve">YoY Change</w:t>
      </w:r>
    </w:p>
    <w:p>
      <w:pPr>
        <w:pStyle w:val="BodyText"/>
      </w:pPr>
      <w:r>
        <w:t xml:space="preserve">Market Benchmark</w:t>
      </w:r>
    </w:p>
    <w:p>
      <w:pPr>
        <w:pStyle w:val="BodyText"/>
      </w:pPr>
      <w:r>
        <w:t xml:space="preserve">Total Revenue</w:t>
      </w:r>
    </w:p>
    <w:p>
      <w:pPr>
        <w:pStyle w:val="BodyText"/>
      </w:pPr>
      <w:r>
        <w:t xml:space="preserve">¥450 million ($3M USD)</w:t>
      </w:r>
    </w:p>
    <w:p>
      <w:pPr>
        <w:pStyle w:val="BodyText"/>
      </w:pPr>
      <w:r>
        <w:t xml:space="preserve">+18%</w:t>
      </w:r>
    </w:p>
    <w:p>
      <w:pPr>
        <w:pStyle w:val="BodyText"/>
      </w:pPr>
      <w:r>
        <w:t xml:space="preserve">+7% (Japan average)</w:t>
      </w:r>
    </w:p>
    <w:p>
      <w:pPr>
        <w:pStyle w:val="BodyText"/>
      </w:pPr>
      <w:r>
        <w:t xml:space="preserve">New Enterprise Contracts</w:t>
      </w:r>
    </w:p>
    <w:p>
      <w:pPr>
        <w:pStyle w:val="BodyText"/>
      </w:pPr>
      <w:r>
        <w:t xml:space="preserve">27</w:t>
      </w:r>
    </w:p>
    <w:p>
      <w:pPr>
        <w:pStyle w:val="BodyText"/>
      </w:pPr>
      <w:r>
        <w:t xml:space="preserve">+32%</w:t>
      </w:r>
    </w:p>
    <w:p>
      <w:pPr>
        <w:pStyle w:val="BodyText"/>
      </w:pPr>
      <w:r>
        <w:t xml:space="preserve">+14%</w:t>
      </w:r>
    </w:p>
    <w:p>
      <w:pPr>
        <w:pStyle w:val="BodyText"/>
      </w:pPr>
      <w:r>
        <w:t xml:space="preserve">CAC Reduction</w:t>
      </w:r>
    </w:p>
    <w:p>
      <w:pPr>
        <w:pStyle w:val="BodyText"/>
      </w:pPr>
      <w:r>
        <w:t xml:space="preserve">¥180K ($1.2K USD)</w:t>
      </w:r>
    </w:p>
    <w:p>
      <w:pPr>
        <w:pStyle w:val="BodyText"/>
      </w:pPr>
      <w:r>
        <w:t xml:space="preserve">-23%</w:t>
      </w:r>
    </w:p>
    <w:p>
      <w:pPr>
        <w:pStyle w:val="BodyText"/>
      </w:pPr>
      <w:r>
        <w:t xml:space="preserve">-8% (Industry avg.)</w:t>
      </w:r>
    </w:p>
    <w:p>
      <w:pPr>
        <w:pStyle w:val="BodyText"/>
      </w:pPr>
      <w:r>
        <w:t xml:space="preserve">Tokyo-Specific Adoption Rate</w:t>
      </w:r>
    </w:p>
    <w:p>
      <w:pPr>
        <w:pStyle w:val="BodyText"/>
      </w:pPr>
      <w:r>
        <w:t xml:space="preserve">Industry Vertical</w:t>
      </w:r>
    </w:p>
    <w:p>
      <w:pPr>
        <w:pStyle w:val="BodyText"/>
      </w:pPr>
      <w:r>
        <w:t xml:space="preserve">Adoption Rate</w:t>
      </w:r>
    </w:p>
    <w:p>
      <w:pPr>
        <w:pStyle w:val="BodyText"/>
      </w:pPr>
      <w:r>
        <w:t xml:space="preserve">Finance/Consulting (Marunouchi Hub)</w:t>
      </w:r>
    </w:p>
    <w:p>
      <w:pPr>
        <w:pStyle w:val="BodyText"/>
      </w:pPr>
      <w:r>
        <w:t xml:space="preserve">68%</w:t>
      </w:r>
    </w:p>
    <w:p>
      <w:pPr>
        <w:pStyle w:val="BodyText"/>
      </w:pPr>
      <w:r>
        <w:t xml:space="preserve">Retail/E-commerce (Shibuya District)</w:t>
      </w:r>
    </w:p>
    <w:p>
      <w:pPr>
        <w:pStyle w:val="BodyText"/>
      </w:pPr>
      <w:r>
        <w:t xml:space="preserve">52%</w:t>
      </w:r>
    </w:p>
    <w:p>
      <w:pPr>
        <w:pStyle w:val="BodyText"/>
      </w:pPr>
      <w:r>
        <w:t xml:space="preserve">Manufacturing (Tokyo Metropolitan Area)</w:t>
      </w:r>
    </w:p>
    <w:p>
      <w:pPr>
        <w:pStyle w:val="BodyText"/>
      </w:pPr>
      <w:r>
        <w:t xml:space="preserve">47%</w:t>
      </w:r>
    </w:p>
    <w:bookmarkStart w:id="23" w:name="X77718ba5d6103876808d0d889366b40b59a9dcf"/>
    <w:p>
      <w:pPr>
        <w:pStyle w:val="Heading2"/>
      </w:pPr>
      <w:r>
        <w:t xml:space="preserve">Case Study: Editor at Tokyo Global Finance Leader</w:t>
      </w:r>
    </w:p>
    <w:p>
      <w:pPr>
        <w:pStyle w:val="FirstParagraph"/>
      </w:pPr>
      <w:r>
        <w:t xml:space="preserve">A Tier-1 Tokyo-based investment bank reduced document review cycles by 43% after implementing Editor across its 850-person Tokyo office. The firm's compliance team highlighted how Editor's "Japanese Regulatory Clause Database" – a feature developed specifically for Japan market needs – automatically flagged non-compliant phrasing against Financial Services Agency (FSA) guidelines. As noted by the bank's Head of Operations: "Editor isn't just an editor; it's our legal safeguard. In Tokyo's high-stakes environment, we cannot afford manual review errors." This implementation directly contributed to 12 new enterprise deals from Tokyo financial institutions in Q3.</w:t>
      </w:r>
    </w:p>
    <w:bookmarkEnd w:id="23"/>
    <w:bookmarkStart w:id="24" w:name="X784b67815f2d8085f7ef786d0293d08482ba736"/>
    <w:p>
      <w:pPr>
        <w:pStyle w:val="Heading2"/>
      </w:pPr>
      <w:r>
        <w:t xml:space="preserve">Competitive Differentiation in Japan Tokyo</w:t>
      </w:r>
    </w:p>
    <w:p>
      <w:pPr>
        <w:pStyle w:val="FirstParagraph"/>
      </w:pPr>
      <w:r>
        <w:t xml:space="preserve">While global competitors like Adobe Workfront focus on Western workflows, Editor's success stems from three Japan-centric advantages:</w:t>
      </w:r>
    </w:p>
    <w:p>
      <w:pPr>
        <w:numPr>
          <w:ilvl w:val="0"/>
          <w:numId w:val="1001"/>
        </w:numPr>
        <w:pStyle w:val="Compact"/>
      </w:pPr>
      <w:r>
        <w:rPr>
          <w:bCs/>
          <w:b/>
        </w:rPr>
        <w:t xml:space="preserve">Cultural Precision:</w:t>
      </w:r>
      <w:r>
        <w:t xml:space="preserve"> </w:t>
      </w:r>
      <w:r>
        <w:t xml:space="preserve">Editor's UI includes "Keigo Mode" (polite form recognition) and honorific-aware collaboration features critical for Japanese business hierarchy</w:t>
      </w:r>
    </w:p>
    <w:p>
      <w:pPr>
        <w:numPr>
          <w:ilvl w:val="0"/>
          <w:numId w:val="1001"/>
        </w:numPr>
        <w:pStyle w:val="Compact"/>
      </w:pPr>
      <w:r>
        <w:rPr>
          <w:bCs/>
          <w:b/>
        </w:rPr>
        <w:t xml:space="preserve">Local Compliance Integration:</w:t>
      </w:r>
      <w:r>
        <w:t xml:space="preserve"> </w:t>
      </w:r>
      <w:r>
        <w:t xml:space="preserve">Pre-built templates for Japanese legal documents (e.g., Keireki Jigyo, Gaiyo Shutsuhyo) that require no customization</w:t>
      </w:r>
    </w:p>
    <w:p>
      <w:pPr>
        <w:pStyle w:val="FirstParagraph"/>
      </w:pPr>
      <w:r>
        <w:t xml:space="preserve">This localization strategy has positioned Editor as the #1 collaborative editor among Japanese enterprises per Gartner Japan's Q3 Market Monitor, surpassing both global brands and domestic tools like NTT DATA's DocumentLink.</w:t>
      </w:r>
    </w:p>
    <w:bookmarkEnd w:id="24"/>
    <w:bookmarkStart w:id="25" w:name="X9ca1a4f81b4a48d3fff1a7415ec78bfadae1e58"/>
    <w:p>
      <w:pPr>
        <w:pStyle w:val="Heading2"/>
      </w:pPr>
      <w:r>
        <w:t xml:space="preserve">Strategic Marketing Initiatives Driving Tokyo Growth</w:t>
      </w:r>
    </w:p>
    <w:p>
      <w:pPr>
        <w:pStyle w:val="FirstParagraph"/>
      </w:pPr>
      <w:r>
        <w:t xml:space="preserve">Our Tokyo-specific sales approach centered on three pillars:</w:t>
      </w:r>
    </w:p>
    <w:p>
      <w:pPr>
        <w:numPr>
          <w:ilvl w:val="0"/>
          <w:numId w:val="1002"/>
        </w:numPr>
        <w:pStyle w:val="Compact"/>
      </w:pPr>
      <w:r>
        <w:rPr>
          <w:bCs/>
          <w:b/>
        </w:rPr>
        <w:t xml:space="preserve">"Editor Day" Workshops:</w:t>
      </w:r>
      <w:r>
        <w:t xml:space="preserve"> </w:t>
      </w:r>
      <w:r>
        <w:t xml:space="preserve">Hosted at Tokyo's Aoyama district innovation hubs, featuring case studies from leading companies like Sony and Toyota R&amp;D. 420+ enterprise attendees generated 87 qualified leads.</w:t>
      </w:r>
    </w:p>
    <w:p>
      <w:pPr>
        <w:numPr>
          <w:ilvl w:val="0"/>
          <w:numId w:val="1002"/>
        </w:numPr>
        <w:pStyle w:val="Compact"/>
      </w:pPr>
      <w:r>
        <w:rPr>
          <w:bCs/>
          <w:b/>
        </w:rPr>
        <w:t xml:space="preserve">Kanji Workflow Certification:</w:t>
      </w:r>
      <w:r>
        <w:t xml:space="preserve"> </w:t>
      </w:r>
      <w:r>
        <w:t xml:space="preserve">Partnering with Kyoto University to develop a certified training program for Japanese business teams – resulting in 31% higher customer retention among certified users.</w:t>
      </w:r>
    </w:p>
    <w:p>
      <w:pPr>
        <w:numPr>
          <w:ilvl w:val="0"/>
          <w:numId w:val="1002"/>
        </w:numPr>
        <w:pStyle w:val="Compact"/>
      </w:pPr>
      <w:r>
        <w:rPr>
          <w:bCs/>
          <w:b/>
        </w:rPr>
        <w:t xml:space="preserve">Tokyo Industry Alliances:</w:t>
      </w:r>
      <w:r>
        <w:t xml:space="preserve"> </w:t>
      </w:r>
      <w:r>
        <w:t xml:space="preserve">Strategic partnerships with Tokyo Metropolitan Government's Digital Transformation Initiative, enabling free pilot programs for municipal departments (leading to 9 new government contracts).</w:t>
      </w:r>
    </w:p>
    <w:bookmarkEnd w:id="25"/>
    <w:bookmarkStart w:id="26" w:name="challenges-and-strategic-adjustments"/>
    <w:p>
      <w:pPr>
        <w:pStyle w:val="Heading2"/>
      </w:pPr>
      <w:r>
        <w:t xml:space="preserve">Challenges and Strategic Adjustments</w:t>
      </w:r>
    </w:p>
    <w:p>
      <w:pPr>
        <w:pStyle w:val="FirstParagraph"/>
      </w:pPr>
      <w:r>
        <w:t xml:space="preserve">Initial Tokyo adoption faced resistance due to legacy system inertia. To overcome this, we implemented a "Legacy Integration First" strategy: Our technical team developed custom connectors for Japan's prevalent mainframe systems used by 68% of Tokyo enterprises (e.g., IBM z/OS), reducing migration friction by 79%. This adjustment directly addressed the top concern from our Tokyo enterprise prospects.</w:t>
      </w:r>
    </w:p>
    <w:bookmarkEnd w:id="26"/>
    <w:bookmarkStart w:id="27" w:name="X52b1dca92424c0a6a3df2719495b9fa0a3c7b00"/>
    <w:p>
      <w:pPr>
        <w:pStyle w:val="Heading2"/>
      </w:pPr>
      <w:r>
        <w:t xml:space="preserve">Q4 Outlook and Tokyo Market Expansion Plan</w:t>
      </w:r>
    </w:p>
    <w:p>
      <w:pPr>
        <w:pStyle w:val="FirstParagraph"/>
      </w:pPr>
      <w:r>
        <w:t xml:space="preserve">Based on current momentum, we project Q4 2023 revenue in Japan Tokyo to reach ¥580 million ($3.8M USD) with expansion into new verticals: healthcare (leveraging Editor's HIPAA-compliant features for Japanese clinics) and manufacturing supply chain documentation. Our strategy includes launching "Editor for Tokyo" – a localized version with real-time translation of industry-specific Japanese terminology (e.g., "kansai" vs. "hokkaido" regional business terms) in partnership with the Tokyo Chamber of Commerce.</w:t>
      </w:r>
    </w:p>
    <w:p>
      <w:pPr>
        <w:pStyle w:val="BodyText"/>
      </w:pPr>
      <w:r>
        <w:t xml:space="preserve">As part of our commitment to Japan Tokyo, we will establish a dedicated 24/7 support center at our new Tokyo office in Roppongi, staffed by native Japanese speakers fluent in enterprise software terminology. This investment aligns with Editor's core mission: to be the indispensable editing solution for every critical business document across Japan's most demanding market.</w:t>
      </w:r>
    </w:p>
    <w:bookmarkEnd w:id="27"/>
    <w:p>
      <w:pPr>
        <w:pStyle w:val="BodyText"/>
      </w:pPr>
      <w:r>
        <w:t xml:space="preserve">Prepared for Tokyo Sales Leadership | Data as of September 30, 2023 | Confidential: This Sales Report is intended solely for internal use by Editor Japan Tokyo management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Japan Tokyo Market Performance</dc:title>
  <dc:creator/>
  <dc:language>en</dc:language>
  <cp:keywords/>
  <dcterms:created xsi:type="dcterms:W3CDTF">2026-07-20T23:23:53Z</dcterms:created>
  <dcterms:modified xsi:type="dcterms:W3CDTF">2026-07-20T23:23:53Z</dcterms:modified>
</cp:coreProperties>
</file>

<file path=docProps/custom.xml><?xml version="1.0" encoding="utf-8"?>
<Properties xmlns="http://schemas.openxmlformats.org/officeDocument/2006/custom-properties" xmlns:vt="http://schemas.openxmlformats.org/officeDocument/2006/docPropsVTypes"/>
</file>