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Editor</w:t>
      </w:r>
      <w:r>
        <w:t xml:space="preserve"> </w:t>
      </w:r>
      <w:r>
        <w:t xml:space="preserve">Sales</w:t>
      </w:r>
      <w:r>
        <w:t xml:space="preserve"> </w:t>
      </w:r>
      <w:r>
        <w:t xml:space="preserve">Report</w:t>
      </w:r>
      <w:r>
        <w:t xml:space="preserve"> </w:t>
      </w:r>
      <w:r>
        <w:t xml:space="preserve">-</w:t>
      </w:r>
      <w:r>
        <w:t xml:space="preserve"> </w:t>
      </w:r>
      <w:r>
        <w:t xml:space="preserve">Kazakhstan</w:t>
      </w:r>
      <w:r>
        <w:t xml:space="preserve"> </w:t>
      </w:r>
      <w:r>
        <w:t xml:space="preserve">Almaty</w:t>
      </w:r>
      <w:r>
        <w:t xml:space="preserve"> </w:t>
      </w:r>
      <w:r>
        <w:t xml:space="preserve">Market</w:t>
      </w:r>
    </w:p>
    <w:bookmarkStart w:id="28" w:name="Xd6126eaab6256e970a575c329919cddf006d495"/>
    <w:p>
      <w:pPr>
        <w:pStyle w:val="Heading1"/>
      </w:pPr>
      <w:r>
        <w:t xml:space="preserve">Comprehensive Sales Report: Editor Product Performance in Kazakhstan Almaty (Q1 2024)</w:t>
      </w:r>
    </w:p>
    <w:bookmarkStart w:id="20" w:name="executive-summary"/>
    <w:p>
      <w:pPr>
        <w:pStyle w:val="Heading2"/>
      </w:pPr>
      <w:r>
        <w:t xml:space="preserve">Executive Summary</w:t>
      </w:r>
    </w:p>
    <w:p>
      <w:pPr>
        <w:pStyle w:val="FirstParagraph"/>
      </w:pPr>
      <w:r>
        <w:t xml:space="preserve">This official Sales Report details the performance of our premium content editing software, "Editor Pro," across the dynamic business landscape of Kazakhstan Almaty during the first quarter of 2024. As a strategic market focus area within Central Asia, Almaty has demonstrated exceptional growth potential for enterprise productivity tools. This report confirms that our Editor platform achieved a remarkable 187% year-over-year sales increase in this region, establishing unprecedented market penetration and positioning us as the leading editorial solution for Kazakhstani enterprises. The success trajectory underscores Almaty's status as a pivotal innovation hub within Kazakhstan.</w:t>
      </w:r>
    </w:p>
    <w:bookmarkEnd w:id="20"/>
    <w:bookmarkStart w:id="21" w:name="market-context-why-kazakhstan-almaty"/>
    <w:p>
      <w:pPr>
        <w:pStyle w:val="Heading2"/>
      </w:pPr>
      <w:r>
        <w:t xml:space="preserve">Market Context: Why Kazakhstan Almaty?</w:t>
      </w:r>
    </w:p>
    <w:p>
      <w:pPr>
        <w:pStyle w:val="FirstParagraph"/>
      </w:pPr>
      <w:r>
        <w:t xml:space="preserve">Almaty, Kazakhstan's former capital and current economic engine, represents a critical growth frontier for digital productivity tools. With over 1.8 million residents and hosting more than 60% of Kazakhstan's major corporate headquarters, the city serves as the nation's primary center for technology adoption. The local business ecosystem—comprising finance institutions (e.g., Halyk Bank), media conglomerates (Kazakh TV channels), and burgeoning tech startups—exhibits high demand for efficient content management solutions. This Sales Report confirms that our Editor software has become synonymous with professional workflow optimization in this market, directly addressing the region's acute need for localized, multilingual editing capabilities supporting Kazakh, Russian, and English content production.</w:t>
      </w:r>
    </w:p>
    <w:bookmarkEnd w:id="21"/>
    <w:bookmarkStart w:id="22" w:name="q1-2024-sales-performance-highlights"/>
    <w:p>
      <w:pPr>
        <w:pStyle w:val="Heading2"/>
      </w:pPr>
      <w:r>
        <w:t xml:space="preserve">Q1 2024 Sales Performance Highlights</w:t>
      </w:r>
    </w:p>
    <w:p>
      <w:pPr>
        <w:pStyle w:val="FirstParagraph"/>
      </w:pPr>
      <w:r>
        <w:t xml:space="preserve">The sales data presented in this Editor Sales Report reveals transformative momentum. Total revenue from Kazakhstan Almaty reached $417,500 USD (a 187% surge from Q1 2023), with enterprise contracts contributing 78% of total volume. Notable achievements include:</w:t>
      </w:r>
    </w:p>
    <w:p>
      <w:pPr>
        <w:numPr>
          <w:ilvl w:val="0"/>
          <w:numId w:val="1001"/>
        </w:numPr>
        <w:pStyle w:val="Compact"/>
      </w:pPr>
      <w:r>
        <w:t xml:space="preserve">Acquisition of 32 new corporate clients in Almaty, including two major regional banks and three national media networks</w:t>
      </w:r>
    </w:p>
    <w:p>
      <w:pPr>
        <w:numPr>
          <w:ilvl w:val="0"/>
          <w:numId w:val="1001"/>
        </w:numPr>
        <w:pStyle w:val="Compact"/>
      </w:pPr>
      <w:r>
        <w:t xml:space="preserve">Expansion into government sector partnerships (Ministry of Culture, National Library)</w:t>
      </w:r>
    </w:p>
    <w:p>
      <w:pPr>
        <w:numPr>
          <w:ilvl w:val="0"/>
          <w:numId w:val="1001"/>
        </w:numPr>
        <w:pStyle w:val="Compact"/>
      </w:pPr>
      <w:r>
        <w:t xml:space="preserve">89% customer retention rate among existing Almaty enterprise users</w:t>
      </w:r>
    </w:p>
    <w:p>
      <w:pPr>
        <w:numPr>
          <w:ilvl w:val="0"/>
          <w:numId w:val="1001"/>
        </w:numPr>
        <w:pStyle w:val="Compact"/>
      </w:pPr>
      <w:r>
        <w:t xml:space="preserve">37% increase in average revenue per user (ARPU) versus previous quarter</w:t>
      </w:r>
    </w:p>
    <w:p>
      <w:pPr>
        <w:pStyle w:val="FirstParagraph"/>
      </w:pPr>
      <w:r>
        <w:t xml:space="preserve">The Editor platform's native Kazakh language interface and compliance with local data regulations were cited as primary differentiators during sales cycles.</w:t>
      </w:r>
    </w:p>
    <w:bookmarkEnd w:id="22"/>
    <w:bookmarkStart w:id="23" w:name="Xe96c435d8525ebdd8b40e3b295129c0ab24d534"/>
    <w:p>
      <w:pPr>
        <w:pStyle w:val="Heading2"/>
      </w:pPr>
      <w:r>
        <w:t xml:space="preserve">Regional Market Analysis: Almaty's Unique Dynamics</w:t>
      </w:r>
    </w:p>
    <w:p>
      <w:pPr>
        <w:pStyle w:val="FirstParagraph"/>
      </w:pPr>
      <w:r>
        <w:t xml:space="preserve">Our analysis confirms that Kazakhstan Almaty operates under distinct commercial parameters requiring tailored strategies. Unlike other CIS markets, Almaty businesses prioritize:</w:t>
      </w:r>
    </w:p>
    <w:p>
      <w:pPr>
        <w:numPr>
          <w:ilvl w:val="0"/>
          <w:numId w:val="1002"/>
        </w:numPr>
        <w:pStyle w:val="Compact"/>
      </w:pPr>
      <w:r>
        <w:rPr>
          <w:bCs/>
          <w:b/>
        </w:rPr>
        <w:t xml:space="preserve">Cultural Localization:</w:t>
      </w:r>
      <w:r>
        <w:t xml:space="preserve"> </w:t>
      </w:r>
      <w:r>
        <w:t xml:space="preserve">83% of enterprise clients demanded Kazakh language support in the Editor platform</w:t>
      </w:r>
    </w:p>
    <w:p>
      <w:pPr>
        <w:numPr>
          <w:ilvl w:val="0"/>
          <w:numId w:val="1002"/>
        </w:numPr>
        <w:pStyle w:val="Compact"/>
      </w:pPr>
      <w:r>
        <w:rPr>
          <w:bCs/>
          <w:b/>
        </w:rPr>
        <w:t xml:space="preserve">Data Sovereignty:</w:t>
      </w:r>
      <w:r>
        <w:t xml:space="preserve"> </w:t>
      </w:r>
      <w:r>
        <w:t xml:space="preserve">76% of contracts included mandatory data storage within Kazakhstan</w:t>
      </w:r>
    </w:p>
    <w:p>
      <w:pPr>
        <w:numPr>
          <w:ilvl w:val="0"/>
          <w:numId w:val="1002"/>
        </w:numPr>
        <w:pStyle w:val="Compact"/>
      </w:pPr>
      <w:r>
        <w:rPr>
          <w:bCs/>
          <w:b/>
        </w:rPr>
        <w:t xml:space="preserve">Hybrid Workflow Integration:</w:t>
      </w:r>
      <w:r>
        <w:t xml:space="preserve"> </w:t>
      </w:r>
      <w:r>
        <w:t xml:space="preserve">Seamless compatibility with local systems like "Kazakhstan Digital Government Platform"</w:t>
      </w:r>
    </w:p>
    <w:p>
      <w:pPr>
        <w:pStyle w:val="FirstParagraph"/>
      </w:pPr>
      <w:r>
        <w:t xml:space="preserve">The Sales Report indicates that our Editor's customizable template library—featuring Kazakh governmental document formats and media industry workflows—directly drove 41% of new enterprise sign-ups. This cultural adaptation strategy has positioned us ahead of global competitors who lack region-specific localization.</w:t>
      </w:r>
    </w:p>
    <w:bookmarkEnd w:id="23"/>
    <w:bookmarkStart w:id="24" w:name="key-success-drivers"/>
    <w:p>
      <w:pPr>
        <w:pStyle w:val="Heading2"/>
      </w:pPr>
      <w:r>
        <w:t xml:space="preserve">Key Success Drivers</w:t>
      </w:r>
    </w:p>
    <w:p>
      <w:pPr>
        <w:pStyle w:val="FirstParagraph"/>
      </w:pPr>
      <w:r>
        <w:t xml:space="preserve">Three strategic initiatives defined our Editor dominance in Kazakhstan Almaty:</w:t>
      </w:r>
    </w:p>
    <w:p>
      <w:pPr>
        <w:numPr>
          <w:ilvl w:val="0"/>
          <w:numId w:val="1003"/>
        </w:numPr>
        <w:pStyle w:val="Compact"/>
      </w:pPr>
      <w:r>
        <w:rPr>
          <w:bCs/>
          <w:b/>
        </w:rPr>
        <w:t xml:space="preserve">Local Partner Ecosystem:</w:t>
      </w:r>
      <w:r>
        <w:t xml:space="preserve"> </w:t>
      </w:r>
      <w:r>
        <w:t xml:space="preserve">Collaboration with Almaty-based IT integrators (e.g., "Almaty Tech Solutions") enabled 58% of enterprise deployments</w:t>
      </w:r>
    </w:p>
    <w:p>
      <w:pPr>
        <w:numPr>
          <w:ilvl w:val="0"/>
          <w:numId w:val="1003"/>
        </w:numPr>
        <w:pStyle w:val="Compact"/>
      </w:pPr>
      <w:r>
        <w:rPr>
          <w:bCs/>
          <w:b/>
        </w:rPr>
        <w:t xml:space="preserve">Cross-Functional Training:</w:t>
      </w:r>
      <w:r>
        <w:t xml:space="preserve"> </w:t>
      </w:r>
      <w:r>
        <w:t xml:space="preserve">Certified Kazakh-speaking support teams reduced onboarding time by 63%</w:t>
      </w:r>
    </w:p>
    <w:p>
      <w:pPr>
        <w:numPr>
          <w:ilvl w:val="0"/>
          <w:numId w:val="1003"/>
        </w:numPr>
        <w:pStyle w:val="Compact"/>
      </w:pPr>
      <w:r>
        <w:rPr>
          <w:bCs/>
          <w:b/>
        </w:rPr>
        <w:t xml:space="preserve">Government Compliance Certification:</w:t>
      </w:r>
      <w:r>
        <w:t xml:space="preserve"> </w:t>
      </w:r>
      <w:r>
        <w:t xml:space="preserve">Achieving the "Kazakhstan Digital Trust Seal" accelerated public-sector sales by 200%</w:t>
      </w:r>
    </w:p>
    <w:p>
      <w:pPr>
        <w:pStyle w:val="FirstParagraph"/>
      </w:pPr>
      <w:r>
        <w:t xml:space="preserve">A standout case study involves our partnership with "Qazaqmedia," Kazakhstan's leading media group, where Editor implementation increased their content production speed by 47% across Almaty-based editorial teams.</w:t>
      </w:r>
    </w:p>
    <w:bookmarkEnd w:id="24"/>
    <w:bookmarkStart w:id="25" w:name="challenges-and-strategic-adaptations"/>
    <w:p>
      <w:pPr>
        <w:pStyle w:val="Heading2"/>
      </w:pPr>
      <w:r>
        <w:t xml:space="preserve">Challenges and Strategic Adaptations</w:t>
      </w:r>
    </w:p>
    <w:p>
      <w:pPr>
        <w:pStyle w:val="FirstParagraph"/>
      </w:pPr>
      <w:r>
        <w:t xml:space="preserve">While growth was robust, the Sales Report identifies two key market challenges and our responsive solutions:</w:t>
      </w:r>
    </w:p>
    <w:p>
      <w:pPr>
        <w:numPr>
          <w:ilvl w:val="0"/>
          <w:numId w:val="1004"/>
        </w:numPr>
        <w:pStyle w:val="Compact"/>
      </w:pPr>
      <w:r>
        <w:rPr>
          <w:iCs/>
          <w:i/>
        </w:rPr>
        <w:t xml:space="preserve">Payment Infrastructure Limitations:</w:t>
      </w:r>
      <w:r>
        <w:t xml:space="preserve"> </w:t>
      </w:r>
      <w:r>
        <w:t xml:space="preserve">Initial resistance to international payment systems. Response: Implemented localized payment gateway integration (via Kaspi.kz), increasing transaction success rates from 62% to 94%.</w:t>
      </w:r>
    </w:p>
    <w:p>
      <w:pPr>
        <w:numPr>
          <w:ilvl w:val="0"/>
          <w:numId w:val="1004"/>
        </w:numPr>
        <w:pStyle w:val="Compact"/>
      </w:pPr>
      <w:r>
        <w:rPr>
          <w:iCs/>
          <w:i/>
        </w:rPr>
        <w:t xml:space="preserve">Digital Literacy Variance:</w:t>
      </w:r>
      <w:r>
        <w:t xml:space="preserve"> </w:t>
      </w:r>
      <w:r>
        <w:t xml:space="preserve">Older enterprise users required intensive training. Response: Launched "Almaty Editor Academy" with monthly in-person workshops, boosting user adoption by 31%.</w:t>
      </w:r>
    </w:p>
    <w:p>
      <w:pPr>
        <w:pStyle w:val="FirstParagraph"/>
      </w:pPr>
      <w:r>
        <w:t xml:space="preserve">These adaptations directly addressed Kazakhstan Almaty's unique operational environment, transforming potential obstacles into competitive advantages.</w:t>
      </w:r>
    </w:p>
    <w:bookmarkEnd w:id="25"/>
    <w:bookmarkStart w:id="26" w:name="future-outlook-and-strategic-roadmap"/>
    <w:p>
      <w:pPr>
        <w:pStyle w:val="Heading2"/>
      </w:pPr>
      <w:r>
        <w:t xml:space="preserve">Future Outlook and Strategic Roadmap</w:t>
      </w:r>
    </w:p>
    <w:p>
      <w:pPr>
        <w:pStyle w:val="FirstParagraph"/>
      </w:pPr>
      <w:r>
        <w:t xml:space="preserve">Based on Q1 success metrics, the following priorities will guide our Editor expansion in Kazakhstan Almaty:</w:t>
      </w:r>
    </w:p>
    <w:p>
      <w:pPr>
        <w:numPr>
          <w:ilvl w:val="0"/>
          <w:numId w:val="1005"/>
        </w:numPr>
        <w:pStyle w:val="Compact"/>
      </w:pPr>
      <w:r>
        <w:rPr>
          <w:bCs/>
          <w:b/>
        </w:rPr>
        <w:t xml:space="preserve">Geographic Expansion:</w:t>
      </w:r>
      <w:r>
        <w:t xml:space="preserve"> </w:t>
      </w:r>
      <w:r>
        <w:t xml:space="preserve">Targeting Nur-Sultan and Shymkent markets with Almaty-based success as proven model</w:t>
      </w:r>
    </w:p>
    <w:p>
      <w:pPr>
        <w:numPr>
          <w:ilvl w:val="0"/>
          <w:numId w:val="1005"/>
        </w:numPr>
        <w:pStyle w:val="Compact"/>
      </w:pPr>
      <w:r>
        <w:rPr>
          <w:bCs/>
          <w:b/>
        </w:rPr>
        <w:t xml:space="preserve">Product Innovation:</w:t>
      </w:r>
      <w:r>
        <w:t xml:space="preserve"> </w:t>
      </w:r>
      <w:r>
        <w:t xml:space="preserve">Developing Kazakh-language AI features (e.g., "Kazakh Grammar Assistant") for Editor Pro 2.0</w:t>
      </w:r>
    </w:p>
    <w:p>
      <w:pPr>
        <w:numPr>
          <w:ilvl w:val="0"/>
          <w:numId w:val="1005"/>
        </w:numPr>
        <w:pStyle w:val="Compact"/>
      </w:pPr>
      <w:r>
        <w:rPr>
          <w:bCs/>
          <w:b/>
        </w:rPr>
        <w:t xml:space="preserve">Enterprise Ecosystem Building:</w:t>
      </w:r>
      <w:r>
        <w:t xml:space="preserve"> </w:t>
      </w:r>
      <w:r>
        <w:t xml:space="preserve">Creating an Almaty-focused partner network of 15+ certified integrators by Q3 2024</w:t>
      </w:r>
    </w:p>
    <w:p>
      <w:pPr>
        <w:numPr>
          <w:ilvl w:val="0"/>
          <w:numId w:val="1005"/>
        </w:numPr>
        <w:pStyle w:val="Compact"/>
      </w:pPr>
      <w:r>
        <w:rPr>
          <w:bCs/>
          <w:b/>
        </w:rPr>
        <w:t xml:space="preserve">Sustainability Integration:</w:t>
      </w:r>
      <w:r>
        <w:t xml:space="preserve"> </w:t>
      </w:r>
      <w:r>
        <w:t xml:space="preserve">Launching "Green Editor" initiative with carbon-neutral cloud infrastructure for Kazakhstani clients</w:t>
      </w:r>
    </w:p>
    <w:p>
      <w:pPr>
        <w:pStyle w:val="FirstParagraph"/>
      </w:pPr>
      <w:r>
        <w:t xml:space="preserve">Market analysis projects a $1.2M revenue opportunity for Editor in Kazakhstan Almaty by Q4 2024, representing a 153% CAGR from current baseline.</w:t>
      </w:r>
    </w:p>
    <w:bookmarkEnd w:id="26"/>
    <w:bookmarkStart w:id="27" w:name="conclusion-the-almaty-catalyst-effect"/>
    <w:p>
      <w:pPr>
        <w:pStyle w:val="Heading2"/>
      </w:pPr>
      <w:r>
        <w:t xml:space="preserve">Conclusion: The Almaty Catalyst Effect</w:t>
      </w:r>
    </w:p>
    <w:p>
      <w:pPr>
        <w:pStyle w:val="FirstParagraph"/>
      </w:pPr>
      <w:r>
        <w:t xml:space="preserve">This Sales Report unequivocally establishes that the Editor platform has become an indispensable workflow engine for Kazakhstani enterprises operating in Almaty. The city's rapid digital transformation—evidenced by its 34% annual growth in SaaS adoption rates—has created a perfect environment for our product. Crucially, the Editor's success is not merely transactional; it has fundamentally changed how businesses approach content creation within Kazakhstan. As one Almaty-based financial services executive noted during our Q1 review: "The Editor isn't just software—it's become the standard operating procedure for professional communication across our entire organization."</w:t>
      </w:r>
    </w:p>
    <w:p>
      <w:pPr>
        <w:pStyle w:val="BodyText"/>
      </w:pPr>
      <w:r>
        <w:t xml:space="preserve">Looking forward, we are committed to deepening this partnership with Kazakhstan Almaty as our regional cornerstone. The data is clear: when an enterprise-grade editorial solution understands local language, culture, and compliance needs—like our Editor platform does—the market response is transformative. This Sales Report not only documents exceptional performance but also sets a new benchmark for technology adoption in Central Asia's most dynamic business center.</w:t>
      </w:r>
    </w:p>
    <w:p>
      <w:pPr>
        <w:pStyle w:val="BodyText"/>
      </w:pPr>
      <w:r>
        <w:rPr>
          <w:iCs/>
          <w:i/>
        </w:rPr>
        <w:t xml:space="preserve">Prepared for: Global Executive Leadership Team</w:t>
      </w:r>
      <w:r>
        <w:br/>
      </w:r>
      <w:r>
        <w:rPr>
          <w:iCs/>
          <w:i/>
        </w:rPr>
        <w:t xml:space="preserve">Report Date: April 15, 2024</w:t>
      </w:r>
      <w:r>
        <w:br/>
      </w:r>
      <w:r>
        <w:rPr>
          <w:iCs/>
          <w:i/>
        </w:rPr>
        <w:t xml:space="preserve">Analysis Period: January 1 – March 31, 2024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Editor Sales Report - Kazakhstan Almaty Market</dc:title>
  <dc:creator/>
  <dc:language>en</dc:language>
  <cp:keywords/>
  <dcterms:created xsi:type="dcterms:W3CDTF">2026-07-21T04:52:17Z</dcterms:created>
  <dcterms:modified xsi:type="dcterms:W3CDTF">2026-07-21T04:52:17Z</dcterms:modified>
</cp:coreProperties>
</file>

<file path=docProps/custom.xml><?xml version="1.0" encoding="utf-8"?>
<Properties xmlns="http://schemas.openxmlformats.org/officeDocument/2006/custom-properties" xmlns:vt="http://schemas.openxmlformats.org/officeDocument/2006/docPropsVTypes"/>
</file>