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Software</w:t>
      </w:r>
      <w:r>
        <w:t xml:space="preserve"> </w:t>
      </w:r>
      <w:r>
        <w:t xml:space="preserve">in</w:t>
      </w:r>
      <w:r>
        <w:t xml:space="preserve"> </w:t>
      </w:r>
      <w:r>
        <w:t xml:space="preserve">Kuwait</w:t>
      </w:r>
      <w:r>
        <w:t xml:space="preserve"> </w:t>
      </w:r>
      <w:r>
        <w:t xml:space="preserve">City</w:t>
      </w:r>
    </w:p>
    <w:bookmarkStart w:id="28" w:name="Xf10353faf483bef96adb1418dafc2cadc10d6e9"/>
    <w:p>
      <w:pPr>
        <w:pStyle w:val="Heading1"/>
      </w:pPr>
      <w:r>
        <w:t xml:space="preserve">Comprehensive Sales Report: Editor Software Adoption in Kuwait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Management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our flagship editorial solution, 'Editor Pro', across Kuwait City's business landscape during Q3 2023. The report underscores a remarkable 47% year-over-year growth in sales within Kuwait City, establishing it as our fastest-growing metropolitan market globally. With Kuwait City serving as the economic epicenter of the Gulf Cooperation Council (GCC), this success validates our strategic investment in localized enterprise solutions. The 'Editor' platform—designed for professional content creation, document management, and collaborative workflows—has become indispensable for government entities, multinational corporations, and media houses operating from Kuwait City.</w:t>
      </w:r>
    </w:p>
    <w:bookmarkEnd w:id="20"/>
    <w:bookmarkStart w:id="21" w:name="Xe8fe43d76714b22fb59ae84d11649b30cea845b"/>
    <w:p>
      <w:pPr>
        <w:pStyle w:val="Heading2"/>
      </w:pPr>
      <w:r>
        <w:t xml:space="preserve">II. Market Context: Why Editor Resonates in Kuwait City</w:t>
      </w:r>
    </w:p>
    <w:p>
      <w:pPr>
        <w:pStyle w:val="FirstParagraph"/>
      </w:pPr>
      <w:r>
        <w:t xml:space="preserve">Kuwait City's dynamic business environment demands cutting-edge productivity tools that align with regional operational standards. As the capital of Kuwait and a global hub for oil, finance, and media, the city requires software that supports Arabic-English bilingual workflows while meeting stringent data sovereignty requirements. Our 'Editor' solution has uniquely addressed these needs through:</w:t>
      </w:r>
    </w:p>
    <w:p>
      <w:pPr>
        <w:numPr>
          <w:ilvl w:val="0"/>
          <w:numId w:val="1001"/>
        </w:numPr>
        <w:pStyle w:val="Compact"/>
      </w:pPr>
      <w:r>
        <w:t xml:space="preserve">Native Arabic script support with AI-powered contextual correction</w:t>
      </w:r>
    </w:p>
    <w:p>
      <w:pPr>
        <w:numPr>
          <w:ilvl w:val="0"/>
          <w:numId w:val="1001"/>
        </w:numPr>
        <w:pStyle w:val="Compact"/>
      </w:pPr>
      <w:r>
        <w:t xml:space="preserve">Compliance with Kuwait's National Data Protection Law (KNDPL)</w:t>
      </w:r>
    </w:p>
    <w:p>
      <w:pPr>
        <w:numPr>
          <w:ilvl w:val="0"/>
          <w:numId w:val="1001"/>
        </w:numPr>
        <w:pStyle w:val="Compact"/>
      </w:pPr>
      <w:r>
        <w:t xml:space="preserve">Seamless integration with local government digital platforms like 'Mubadara'</w:t>
      </w:r>
    </w:p>
    <w:p>
      <w:pPr>
        <w:numPr>
          <w:ilvl w:val="0"/>
          <w:numId w:val="1001"/>
        </w:numPr>
        <w:pStyle w:val="Compact"/>
      </w:pPr>
      <w:r>
        <w:t xml:space="preserve">Cloud infrastructure hosted in Bahrain (geographically proximate to Kuwait City)</w:t>
      </w:r>
    </w:p>
    <w:p>
      <w:pPr>
        <w:pStyle w:val="FirstParagraph"/>
      </w:pPr>
      <w:r>
        <w:t xml:space="preserve">This market-specific adaptation has been critical to our penetration strategy. Unlike generic competitors, 'Editor' understands Kuwait City's unique workflow challenges—such as multi-departmental document approval chains common in oil-sector corporations.</w:t>
      </w:r>
    </w:p>
    <w:bookmarkEnd w:id="21"/>
    <w:bookmarkStart w:id="22" w:name="Xc3916952c9221776a10e7b1355373b90971ae7c"/>
    <w:p>
      <w:pPr>
        <w:pStyle w:val="Heading2"/>
      </w:pPr>
      <w:r>
        <w:t xml:space="preserve">III. Q3 2023 Sales Performance: Kuwait City</w:t>
      </w:r>
    </w:p>
    <w:p>
      <w:pPr>
        <w:pStyle w:val="FirstParagraph"/>
      </w:pPr>
      <w:r>
        <w:t xml:space="preserve">Our sales metrics for Kuwait City demonstrate unprecedented traction: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Growth</w:t>
            </w:r>
          </w:p>
        </w:tc>
      </w:tr>
      <w:tr>
        <w:tc>
          <w:tcPr/>
          <w:p>
            <w:pPr>
              <w:pStyle w:val="Compact"/>
              <w:jc w:val="left"/>
            </w:pPr>
            <w:r>
              <w:t xml:space="preserve">New Enterprise Contracts</w:t>
            </w:r>
          </w:p>
        </w:tc>
        <w:tc>
          <w:tcPr/>
          <w:p>
            <w:pPr>
              <w:pStyle w:val="Compact"/>
              <w:jc w:val="left"/>
            </w:pPr>
            <w:r>
              <w:t xml:space="preserve">47</w:t>
            </w:r>
          </w:p>
        </w:tc>
        <w:tc>
          <w:tcPr/>
          <w:p>
            <w:pPr>
              <w:pStyle w:val="Compact"/>
              <w:jc w:val="left"/>
            </w:pPr>
            <w:r>
              <w:t xml:space="preserve">19</w:t>
            </w:r>
          </w:p>
        </w:tc>
        <w:tc>
          <w:tcPr/>
          <w:p>
            <w:pPr>
              <w:pStyle w:val="Compact"/>
              <w:jc w:val="left"/>
            </w:pPr>
            <w:r>
              <w:t xml:space="preserve">+147%</w:t>
            </w:r>
          </w:p>
        </w:tc>
      </w:tr>
      <w:tr>
        <w:tc>
          <w:tcPr/>
          <w:p>
            <w:pPr>
              <w:pStyle w:val="Compact"/>
              <w:jc w:val="left"/>
            </w:pPr>
            <w:r>
              <w:t xml:space="preserve">Total Revenue (KWD)</w:t>
            </w:r>
          </w:p>
        </w:tc>
        <w:tc>
          <w:tcPr/>
          <w:p>
            <w:pPr>
              <w:pStyle w:val="Compact"/>
              <w:jc w:val="left"/>
            </w:pPr>
            <w:r>
              <w:t xml:space="preserve">285,000</w:t>
            </w:r>
          </w:p>
        </w:tc>
        <w:tc>
          <w:tcPr/>
          <w:p>
            <w:pPr>
              <w:pStyle w:val="Compact"/>
              <w:jc w:val="left"/>
            </w:pPr>
            <w:r>
              <w:t xml:space="preserve">193,500</w:t>
            </w:r>
          </w:p>
        </w:tc>
        <w:tc>
          <w:tcPr/>
          <w:p>
            <w:pPr>
              <w:pStyle w:val="Compact"/>
              <w:jc w:val="left"/>
            </w:pPr>
            <w:r>
              <w:t xml:space="preserve">+47.3%</w:t>
            </w:r>
          </w:p>
        </w:tc>
      </w:tr>
      <w:tr>
        <w:tc>
          <w:tcPr/>
          <w:p>
            <w:pPr>
              <w:pStyle w:val="Compact"/>
              <w:jc w:val="left"/>
            </w:pPr>
            <w:r>
              <w:t xml:space="preserve">Cross-Sell Success Rate</w:t>
            </w:r>
          </w:p>
        </w:tc>
        <w:tc>
          <w:tcPr/>
          <w:p>
            <w:pPr>
              <w:pStyle w:val="Compact"/>
              <w:jc w:val="left"/>
            </w:pPr>
            <w:r>
              <w:t xml:space="preserve">68%</w:t>
            </w:r>
          </w:p>
        </w:tc>
        <w:tc>
          <w:tcPr/>
          <w:p>
            <w:pPr>
              <w:pStyle w:val="Compact"/>
              <w:jc w:val="left"/>
            </w:pPr>
            <w:r>
              <w:t xml:space="preserve">42%</w:t>
            </w:r>
          </w:p>
        </w:tc>
        <w:tc>
          <w:tcPr/>
          <w:p>
            <w:pPr>
              <w:pStyle w:val="Compact"/>
              <w:jc w:val="left"/>
            </w:pPr>
            <w:r>
              <w:t xml:space="preserve">+26 pts</w:t>
            </w:r>
          </w:p>
        </w:tc>
      </w:tr>
    </w:tbl>
    <w:p>
      <w:pPr>
        <w:pStyle w:val="BodyText"/>
      </w:pPr>
      <w:r>
        <w:t xml:space="preserve">The 47% revenue growth outpaces Kuwait City's overall enterprise software market (estimated at 31% growth). Notable wins include:</w:t>
      </w:r>
    </w:p>
    <w:p>
      <w:pPr>
        <w:numPr>
          <w:ilvl w:val="0"/>
          <w:numId w:val="1002"/>
        </w:numPr>
        <w:pStyle w:val="Compact"/>
      </w:pPr>
      <w:r>
        <w:rPr>
          <w:bCs/>
          <w:b/>
        </w:rPr>
        <w:t xml:space="preserve">Kuwait National Petroleum Company (KNPC):</w:t>
      </w:r>
      <w:r>
        <w:t xml:space="preserve"> </w:t>
      </w:r>
      <w:r>
        <w:t xml:space="preserve">$75,000 contract for deploying Editor across 12,500 engineers and technicians in Kuwait City facilities</w:t>
      </w:r>
    </w:p>
    <w:p>
      <w:pPr>
        <w:numPr>
          <w:ilvl w:val="0"/>
          <w:numId w:val="1002"/>
        </w:numPr>
        <w:pStyle w:val="Compact"/>
      </w:pPr>
      <w:r>
        <w:rPr>
          <w:bCs/>
          <w:b/>
        </w:rPr>
        <w:t xml:space="preserve">Al-Arabiya News Network:</w:t>
      </w:r>
      <w:r>
        <w:t xml:space="preserve"> </w:t>
      </w:r>
      <w:r>
        <w:t xml:space="preserve">Enterprise license for 35 editorial staff supporting Arabic/English broadcast content</w:t>
      </w:r>
    </w:p>
    <w:p>
      <w:pPr>
        <w:numPr>
          <w:ilvl w:val="0"/>
          <w:numId w:val="1002"/>
        </w:numPr>
        <w:pStyle w:val="Compact"/>
      </w:pPr>
      <w:r>
        <w:rPr>
          <w:bCs/>
          <w:b/>
        </w:rPr>
        <w:t xml:space="preserve">Kuwait Ministry of Health:</w:t>
      </w:r>
      <w:r>
        <w:t xml:space="preserve"> </w:t>
      </w:r>
      <w:r>
        <w:t xml:space="preserve">$42,000 implementation for clinical documentation workflows in Kuwait City hospitals</w:t>
      </w:r>
    </w:p>
    <w:bookmarkEnd w:id="22"/>
    <w:bookmarkStart w:id="23" w:name="Xa70d33a26052e9f562b3df75e23de66b340c95b"/>
    <w:p>
      <w:pPr>
        <w:pStyle w:val="Heading2"/>
      </w:pPr>
      <w:r>
        <w:t xml:space="preserve">IV. Customer Satisfaction &amp; Regional Insights</w:t>
      </w:r>
    </w:p>
    <w:p>
      <w:pPr>
        <w:pStyle w:val="FirstParagraph"/>
      </w:pPr>
      <w:r>
        <w:t xml:space="preserve">Customer retention in Kuwait City stands at 98%—significantly higher than the global average (89%). Client feedback consistently highlights three value drivers:</w:t>
      </w:r>
    </w:p>
    <w:p>
      <w:pPr>
        <w:numPr>
          <w:ilvl w:val="0"/>
          <w:numId w:val="1003"/>
        </w:numPr>
        <w:pStyle w:val="Compact"/>
      </w:pPr>
      <w:r>
        <w:rPr>
          <w:bCs/>
          <w:b/>
        </w:rPr>
        <w:t xml:space="preserve">Time-to-Value:</w:t>
      </w:r>
      <w:r>
        <w:t xml:space="preserve"> </w:t>
      </w:r>
      <w:r>
        <w:t xml:space="preserve">"Editor reduced our document approval cycle from 7 days to 1.5 days," shared a senior manager at Gulf Finance House in Kuwait City.</w:t>
      </w:r>
    </w:p>
    <w:p>
      <w:pPr>
        <w:numPr>
          <w:ilvl w:val="0"/>
          <w:numId w:val="1003"/>
        </w:numPr>
        <w:pStyle w:val="Compact"/>
      </w:pPr>
      <w:r>
        <w:rPr>
          <w:bCs/>
          <w:b/>
        </w:rPr>
        <w:t xml:space="preserve">Cultural Alignment:</w:t>
      </w:r>
      <w:r>
        <w:t xml:space="preserve"> </w:t>
      </w:r>
      <w:r>
        <w:t xml:space="preserve">"The system understands Kuwaiti business etiquette in document formatting—critical for government submissions," noted a consultant at PwC Kuwait.</w:t>
      </w:r>
    </w:p>
    <w:p>
      <w:pPr>
        <w:numPr>
          <w:ilvl w:val="0"/>
          <w:numId w:val="1003"/>
        </w:numPr>
        <w:pStyle w:val="Compact"/>
      </w:pPr>
      <w:r>
        <w:rPr>
          <w:bCs/>
          <w:b/>
        </w:rPr>
        <w:t xml:space="preserve">Local Support Presence:</w:t>
      </w:r>
      <w:r>
        <w:t xml:space="preserve"> </w:t>
      </w:r>
      <w:r>
        <w:t xml:space="preserve">Our dedicated 24/7 Arabic-speaking support team based in Kuwait City has been cited as the key differentiator.</w:t>
      </w:r>
    </w:p>
    <w:p>
      <w:pPr>
        <w:pStyle w:val="FirstParagraph"/>
      </w:pPr>
      <w:r>
        <w:t xml:space="preserve">The 'Editor' sales funnel in Kuwait City shows a 38% conversion rate from pilot to enterprise—twice the global average. This success stems from our targeted engagement with Kuwaiti Chamber of Commerce initiatives and strategic partnerships with local IT integrators like</w:t>
      </w:r>
      <w:r>
        <w:t xml:space="preserve"> </w:t>
      </w:r>
      <w:r>
        <w:rPr>
          <w:iCs/>
          <w:i/>
        </w:rPr>
        <w:t xml:space="preserve">Al-Nasr Systems</w:t>
      </w:r>
      <w:r>
        <w:t xml:space="preserve"> </w:t>
      </w:r>
      <w:r>
        <w:t xml:space="preserve">(Kuwait City-based).</w:t>
      </w:r>
    </w:p>
    <w:bookmarkEnd w:id="23"/>
    <w:bookmarkStart w:id="24" w:name="v.-challenges-strategic-adjustments"/>
    <w:p>
      <w:pPr>
        <w:pStyle w:val="Heading2"/>
      </w:pPr>
      <w:r>
        <w:t xml:space="preserve">V. Challenges &amp; Strategic Adjustments</w:t>
      </w:r>
    </w:p>
    <w:p>
      <w:pPr>
        <w:pStyle w:val="FirstParagraph"/>
      </w:pPr>
      <w:r>
        <w:t xml:space="preserve">Despite strong growth, we identified two Kuwait City-specific challenges:</w:t>
      </w:r>
    </w:p>
    <w:p>
      <w:pPr>
        <w:numPr>
          <w:ilvl w:val="0"/>
          <w:numId w:val="1004"/>
        </w:numPr>
        <w:pStyle w:val="Compact"/>
      </w:pPr>
      <w:r>
        <w:rPr>
          <w:bCs/>
          <w:b/>
        </w:rPr>
        <w:t xml:space="preserve">Cultural Onboarding:</w:t>
      </w:r>
      <w:r>
        <w:t xml:space="preserve"> </w:t>
      </w:r>
      <w:r>
        <w:t xml:space="preserve">Initial resistance from conservative departments required customized workshops emphasizing 'Editor's' alignment with traditional business practices.</w:t>
      </w:r>
    </w:p>
    <w:p>
      <w:pPr>
        <w:numPr>
          <w:ilvl w:val="0"/>
          <w:numId w:val="1004"/>
        </w:numPr>
        <w:pStyle w:val="Compact"/>
      </w:pPr>
      <w:r>
        <w:rPr>
          <w:bCs/>
          <w:b/>
        </w:rPr>
        <w:t xml:space="preserve">Infrastructure Constraints:</w:t>
      </w:r>
      <w:r>
        <w:t xml:space="preserve"> </w:t>
      </w:r>
      <w:r>
        <w:t xml:space="preserve">Some older government systems in Kuwait City required API adapters, increasing implementation time by 15%.</w:t>
      </w:r>
    </w:p>
    <w:p>
      <w:pPr>
        <w:pStyle w:val="FirstParagraph"/>
      </w:pPr>
      <w:r>
        <w:t xml:space="preserve">In response, we launched the 'Kuwait City Adaptation Program' in August 2023, including:</w:t>
      </w:r>
    </w:p>
    <w:p>
      <w:pPr>
        <w:numPr>
          <w:ilvl w:val="0"/>
          <w:numId w:val="1005"/>
        </w:numPr>
        <w:pStyle w:val="Compact"/>
      </w:pPr>
      <w:r>
        <w:t xml:space="preserve">Customized Arabic-language training modules for municipal departments</w:t>
      </w:r>
    </w:p>
    <w:p>
      <w:pPr>
        <w:numPr>
          <w:ilvl w:val="0"/>
          <w:numId w:val="1005"/>
        </w:numPr>
        <w:pStyle w:val="Compact"/>
      </w:pPr>
      <w:r>
        <w:t xml:space="preserve">Dedicated Kuwait City implementation team with local business acumen</w:t>
      </w:r>
    </w:p>
    <w:p>
      <w:pPr>
        <w:numPr>
          <w:ilvl w:val="0"/>
          <w:numId w:val="1005"/>
        </w:numPr>
        <w:pStyle w:val="Compact"/>
      </w:pPr>
      <w:r>
        <w:t xml:space="preserve">Partnership with Kuwait University's IT department for certification programs</w:t>
      </w:r>
    </w:p>
    <w:bookmarkEnd w:id="24"/>
    <w:bookmarkStart w:id="25" w:name="X584fb9b5b395ae1968611cb9e3397ba722d711a"/>
    <w:p>
      <w:pPr>
        <w:pStyle w:val="Heading2"/>
      </w:pPr>
      <w:r>
        <w:t xml:space="preserve">VI. Future Outlook: Editor in the Kuwait City Ecosystem</w:t>
      </w:r>
    </w:p>
    <w:p>
      <w:pPr>
        <w:pStyle w:val="FirstParagraph"/>
      </w:pPr>
      <w:r>
        <w:t xml:space="preserve">Kuwait City's Vision 2035 initiative prioritizes digital transformation across all sectors, creating a $1.8B market opportunity for enterprise editors by 2025. We project:</w:t>
      </w:r>
    </w:p>
    <w:p>
      <w:pPr>
        <w:numPr>
          <w:ilvl w:val="0"/>
          <w:numId w:val="1006"/>
        </w:numPr>
        <w:pStyle w:val="Compact"/>
      </w:pPr>
      <w:r>
        <w:rPr>
          <w:bCs/>
          <w:b/>
        </w:rPr>
        <w:t xml:space="preserve">Q4 2023 Target:</w:t>
      </w:r>
      <w:r>
        <w:t xml:space="preserve"> </w:t>
      </w:r>
      <w:r>
        <w:t xml:space="preserve">$1M+ in revenue (a 35% increase from Q3)</w:t>
      </w:r>
    </w:p>
    <w:p>
      <w:pPr>
        <w:numPr>
          <w:ilvl w:val="0"/>
          <w:numId w:val="1006"/>
        </w:numPr>
        <w:pStyle w:val="Compact"/>
      </w:pPr>
      <w:r>
        <w:rPr>
          <w:bCs/>
          <w:b/>
        </w:rPr>
        <w:t xml:space="preserve">New Verticals:</w:t>
      </w:r>
      <w:r>
        <w:t xml:space="preserve"> </w:t>
      </w:r>
      <w:r>
        <w:t xml:space="preserve">Expansion into educational institutions (e.g., Kuwait University, Public School System)</w:t>
      </w:r>
    </w:p>
    <w:p>
      <w:pPr>
        <w:numPr>
          <w:ilvl w:val="0"/>
          <w:numId w:val="1006"/>
        </w:numPr>
        <w:pStyle w:val="Compact"/>
      </w:pPr>
      <w:r>
        <w:rPr>
          <w:bCs/>
          <w:b/>
        </w:rPr>
        <w:t xml:space="preserve">Product Innovation:</w:t>
      </w:r>
      <w:r>
        <w:t xml:space="preserve"> </w:t>
      </w:r>
      <w:r>
        <w:t xml:space="preserve">Launch of 'Editor for Government' suite tailored to Kuwait City's e-governance requirements</w:t>
      </w:r>
    </w:p>
    <w:p>
      <w:pPr>
        <w:pStyle w:val="FirstParagraph"/>
      </w:pPr>
      <w:r>
        <w:t xml:space="preserve">The sales team will prioritize partnerships with key entities like the Kuwait Investment Authority (KIA) and the Central Bank of Kuwait, where document integrity is paramount. Our Q4 strategy includes a 'Digital Transformation Roadshow' across Kuwait City business districts to showcase Editor's ROI through case studies from KNPC and Al-Arabiya.</w:t>
      </w:r>
    </w:p>
    <w:bookmarkEnd w:id="25"/>
    <w:bookmarkStart w:id="27" w:name="vii.-conclusion"/>
    <w:p>
      <w:pPr>
        <w:pStyle w:val="Heading2"/>
      </w:pPr>
      <w:r>
        <w:t xml:space="preserve">VII. Conclusion</w:t>
      </w:r>
    </w:p>
    <w:p>
      <w:pPr>
        <w:pStyle w:val="FirstParagraph"/>
      </w:pPr>
      <w:r>
        <w:t xml:space="preserve">This Sales Report confirms that 'Editor' has become the enterprise standard for professional document management in Kuwait City. The 47% YoY growth isn't merely a sales figure—it's validation of our market-centric approach. As Kuwait City accelerates its digital economy transformation, 'Editor' is positioned not just as a tool but as an enabler of national productivity goals. We recommend doubling down on local partnerships and investing in Kuwait City's emerging tech talent pipeline to sustain this momentum.</w:t>
      </w:r>
    </w:p>
    <w:p>
      <w:pPr>
        <w:pStyle w:val="BodyText"/>
      </w:pPr>
      <w:r>
        <w:t xml:space="preserve">For the full data visualization dashboard, contact our Regional Analytics Team at kuwait@editor.com. All sales figures are reported in Kuwaiti Dinar (KWD) and represent completed contracts within Kuwait City municipality boundaries.</w:t>
      </w:r>
    </w:p>
    <w:bookmarkStart w:id="26" w:name="appendix-key-metrics-by-sector-q3-2023"/>
    <w:p>
      <w:pPr>
        <w:pStyle w:val="Heading3"/>
      </w:pPr>
      <w:r>
        <w:t xml:space="preserve">Appendix: Key Metrics by Sector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Sector</w:t>
            </w:r>
          </w:p>
        </w:tc>
        <w:tc>
          <w:tcPr/>
          <w:p>
            <w:pPr>
              <w:pStyle w:val="Compact"/>
              <w:jc w:val="left"/>
            </w:pPr>
            <w:r>
              <w:t xml:space="preserve">Revenue (KWD)</w:t>
            </w:r>
          </w:p>
        </w:tc>
        <w:tc>
          <w:tcPr/>
          <w:p>
            <w:pPr>
              <w:pStyle w:val="Compact"/>
              <w:jc w:val="left"/>
            </w:pPr>
            <w:r>
              <w:t xml:space="preserve">% of Total</w:t>
            </w:r>
          </w:p>
        </w:tc>
      </w:tr>
      <w:tr>
        <w:tc>
          <w:tcPr/>
          <w:p>
            <w:pPr>
              <w:pStyle w:val="Compact"/>
              <w:jc w:val="left"/>
            </w:pPr>
            <w:r>
              <w:t xml:space="preserve">Government &amp; Public Sector</w:t>
            </w:r>
          </w:p>
        </w:tc>
        <w:tc>
          <w:tcPr/>
          <w:p>
            <w:pPr>
              <w:pStyle w:val="Compact"/>
              <w:jc w:val="left"/>
            </w:pPr>
            <w:r>
              <w:t xml:space="preserve">98,200</w:t>
            </w:r>
          </w:p>
        </w:tc>
        <w:tc>
          <w:tcPr/>
          <w:p>
            <w:pPr>
              <w:pStyle w:val="Compact"/>
              <w:jc w:val="left"/>
            </w:pPr>
            <w:r>
              <w:t xml:space="preserve">34.4%</w:t>
            </w:r>
          </w:p>
        </w:tc>
      </w:tr>
      <w:tr>
        <w:tc>
          <w:tcPr/>
          <w:p>
            <w:pPr>
              <w:pStyle w:val="Compact"/>
              <w:jc w:val="left"/>
            </w:pPr>
            <w:r>
              <w:t xml:space="preserve">Oil &amp; Energy</w:t>
            </w:r>
          </w:p>
        </w:tc>
        <w:tc>
          <w:tcPr/>
          <w:p>
            <w:pPr>
              <w:pStyle w:val="Compact"/>
              <w:jc w:val="left"/>
            </w:pPr>
            <w:r>
              <w:t xml:space="preserve">105,750</w:t>
            </w:r>
          </w:p>
        </w:tc>
        <w:tc>
          <w:tcPr/>
          <w:p>
            <w:pPr>
              <w:pStyle w:val="Compact"/>
              <w:jc w:val="left"/>
            </w:pPr>
            <w:r>
              <w:t xml:space="preserve">37.1%</w:t>
            </w:r>
          </w:p>
        </w:tc>
      </w:tr>
      <w:tr>
        <w:tc>
          <w:tcPr/>
          <w:p>
            <w:pPr>
              <w:pStyle w:val="Compact"/>
              <w:jc w:val="left"/>
            </w:pPr>
            <w:r>
              <w:t xml:space="preserve">Media &amp; Communications</w:t>
            </w:r>
          </w:p>
        </w:tc>
        <w:tc>
          <w:tcPr/>
          <w:p>
            <w:pPr>
              <w:pStyle w:val="Compact"/>
              <w:jc w:val="left"/>
            </w:pPr>
            <w:r>
              <w:t xml:space="preserve">62,850</w:t>
            </w:r>
          </w:p>
        </w:tc>
        <w:tc>
          <w:tcPr/>
          <w:p>
            <w:pPr>
              <w:pStyle w:val="Compact"/>
              <w:jc w:val="left"/>
            </w:pPr>
            <w:r>
              <w:t xml:space="preserve">22.1%</w:t>
            </w:r>
          </w:p>
        </w:tc>
      </w:tr>
      <w:tr>
        <w:tc>
          <w:tcPr/>
          <w:p>
            <w:pPr>
              <w:pStyle w:val="Compact"/>
              <w:jc w:val="left"/>
            </w:pPr>
            <w:r>
              <w:t xml:space="preserve">Financial Services</w:t>
            </w:r>
          </w:p>
        </w:tc>
        <w:tc>
          <w:tcPr/>
          <w:p>
            <w:pPr>
              <w:pStyle w:val="Compact"/>
              <w:jc w:val="left"/>
            </w:pPr>
            <w:r>
              <w:t xml:space="preserve">18,200</w:t>
            </w:r>
          </w:p>
        </w:tc>
        <w:tc>
          <w:tcPr/>
          <w:p>
            <w:pPr>
              <w:pStyle w:val="Compact"/>
              <w:jc w:val="left"/>
            </w:pPr>
            <w:r>
              <w:t xml:space="preserve">6.4%</w:t>
            </w:r>
          </w:p>
        </w:tc>
      </w:tr>
    </w:tbl>
    <w:p>
      <w:pPr>
        <w:pStyle w:val="BodyText"/>
      </w:pPr>
      <w:r>
        <w:t xml:space="preserve">"Editor isn't just a product—it's the backbone of Kuwait City's digital evolution." - Ahmed Al-Sabah, Regional Sales Director (Kuwait City)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Software in Kuwait City</dc:title>
  <dc:creator/>
  <dc:language>en</dc:language>
  <cp:keywords/>
  <dcterms:created xsi:type="dcterms:W3CDTF">2026-07-21T08:19:55Z</dcterms:created>
  <dcterms:modified xsi:type="dcterms:W3CDTF">2026-07-21T08:19:55Z</dcterms:modified>
</cp:coreProperties>
</file>

<file path=docProps/custom.xml><?xml version="1.0" encoding="utf-8"?>
<Properties xmlns="http://schemas.openxmlformats.org/officeDocument/2006/custom-properties" xmlns:vt="http://schemas.openxmlformats.org/officeDocument/2006/docPropsVTypes"/>
</file>