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1bc014bcaa86beb27e13e4ba495e14320664031"/>
    <w:p>
      <w:pPr>
        <w:pStyle w:val="Heading1"/>
      </w:pPr>
      <w:r>
        <w:t xml:space="preserve">Sales Report: Editor Platform Adoption and Market Growth in Morocco Casablanca</w:t>
      </w:r>
    </w:p>
    <w:bookmarkStart w:id="20" w:name="executive-summary"/>
    <w:p>
      <w:pPr>
        <w:pStyle w:val="Heading2"/>
      </w:pPr>
      <w:r>
        <w:t xml:space="preserve">Executive Summary</w:t>
      </w:r>
    </w:p>
    <w:p>
      <w:pPr>
        <w:pStyle w:val="FirstParagraph"/>
      </w:pPr>
      <w:r>
        <w:t xml:space="preserve">This Sales Report details the performance of the</w:t>
      </w:r>
      <w:r>
        <w:t xml:space="preserve"> </w:t>
      </w:r>
      <w:r>
        <w:rPr>
          <w:iCs/>
          <w:i/>
        </w:rPr>
        <w:t xml:space="preserve">Editor</w:t>
      </w:r>
      <w:r>
        <w:t xml:space="preserve"> </w:t>
      </w:r>
      <w:r>
        <w:t xml:space="preserve">platform—a specialized digital content management solution—across Morocco's commercial hub, Casablanca. The document analyzes sales metrics, market penetration, customer feedback, and strategic opportunities from Q1 to Q3 2024. As Morocco’s largest city and economic engine (home to 35% of the nation’s GDP), Casablanca remains critical for</w:t>
      </w:r>
      <w:r>
        <w:t xml:space="preserve"> </w:t>
      </w:r>
      <w:r>
        <w:rPr>
          <w:iCs/>
          <w:i/>
        </w:rPr>
        <w:t xml:space="preserve">Editor</w:t>
      </w:r>
      <w:r>
        <w:t xml:space="preserve">'s growth trajectory. This report confirms a 42% year-on-year sales increase in the region, driven by localized content strategies and partnerships with key Moroccan enterprises.</w:t>
      </w:r>
    </w:p>
    <w:bookmarkEnd w:id="20"/>
    <w:bookmarkStart w:id="21" w:name="Xc5ef6e228d7489656d922a12849f4ae97906679"/>
    <w:p>
      <w:pPr>
        <w:pStyle w:val="Heading2"/>
      </w:pPr>
      <w:r>
        <w:t xml:space="preserve">Market Context: Morocco Casablanca as a Strategic Hub</w:t>
      </w:r>
    </w:p>
    <w:p>
      <w:pPr>
        <w:pStyle w:val="FirstParagraph"/>
      </w:pPr>
      <w:r>
        <w:t xml:space="preserve">Casablanca’s dynamic business ecosystem—anchored by industrial zones like Technopole Casablanca and financial centers near Place de la Kasbah—demands agile content solutions. With 89% smartphone penetration (GSMA 2024) and rising demand for Arabic/Darija digital content, the</w:t>
      </w:r>
      <w:r>
        <w:t xml:space="preserve"> </w:t>
      </w:r>
      <w:r>
        <w:rPr>
          <w:iCs/>
          <w:i/>
        </w:rPr>
        <w:t xml:space="preserve">Editor</w:t>
      </w:r>
      <w:r>
        <w:t xml:space="preserve"> </w:t>
      </w:r>
      <w:r>
        <w:t xml:space="preserve">platform’s localized interface resonated immediately. Unlike generic tools,</w:t>
      </w:r>
      <w:r>
        <w:t xml:space="preserve"> </w:t>
      </w:r>
      <w:r>
        <w:rPr>
          <w:iCs/>
          <w:i/>
        </w:rPr>
        <w:t xml:space="preserve">Editor</w:t>
      </w:r>
      <w:r>
        <w:t xml:space="preserve"> </w:t>
      </w:r>
      <w:r>
        <w:t xml:space="preserve">natively supports Moroccan dialects, cultural references (e.g., Ramadan campaign templates), and integrates with local payment gateways like CMI and PayPal Morocco. This adaptability positioned it as the preferred solution for 68% of new enterprise clients in Casablanca.</w:t>
      </w:r>
    </w:p>
    <w:bookmarkEnd w:id="21"/>
    <w:bookmarkStart w:id="22" w:name="sales-performance-breakdown"/>
    <w:p>
      <w:pPr>
        <w:pStyle w:val="Heading2"/>
      </w:pPr>
      <w:r>
        <w:t xml:space="preserve">Sales Performance Breakdown</w:t>
      </w:r>
    </w:p>
    <w:p>
      <w:pPr>
        <w:pStyle w:val="FirstParagraph"/>
      </w:pPr>
      <w:r>
        <w:t xml:space="preserve">From January to September 2024,</w:t>
      </w:r>
      <w:r>
        <w:t xml:space="preserve"> </w:t>
      </w:r>
      <w:r>
        <w:rPr>
          <w:iCs/>
          <w:i/>
        </w:rPr>
        <w:t xml:space="preserve">Editor</w:t>
      </w:r>
      <w:r>
        <w:t xml:space="preserve"> </w:t>
      </w:r>
      <w:r>
        <w:t xml:space="preserve">achieved **$387,500 in sales** within Morocco Casablanca—surpassing the $273,100 Q3 2023 benchmark. Key drivers included:</w:t>
      </w:r>
    </w:p>
    <w:p>
      <w:pPr>
        <w:numPr>
          <w:ilvl w:val="0"/>
          <w:numId w:val="1001"/>
        </w:numPr>
        <w:pStyle w:val="Compact"/>
      </w:pPr>
      <w:r>
        <w:rPr>
          <w:bCs/>
          <w:b/>
        </w:rPr>
        <w:t xml:space="preserve">E-commerce Surge:</w:t>
      </w:r>
      <w:r>
        <w:t xml:space="preserve"> </w:t>
      </w:r>
      <w:r>
        <w:t xml:space="preserve">54% of sales came from retail clients (e.g., Dar Aziza Fashion, Jumia Morocco) using</w:t>
      </w:r>
      <w:r>
        <w:t xml:space="preserve"> </w:t>
      </w:r>
      <w:r>
        <w:rPr>
          <w:iCs/>
          <w:i/>
        </w:rPr>
        <w:t xml:space="preserve">Editor</w:t>
      </w:r>
      <w:r>
        <w:t xml:space="preserve"> </w:t>
      </w:r>
      <w:r>
        <w:t xml:space="preserve">for multilingual product catalogs and social media campaigns.</w:t>
      </w:r>
    </w:p>
    <w:p>
      <w:pPr>
        <w:numPr>
          <w:ilvl w:val="0"/>
          <w:numId w:val="1001"/>
        </w:numPr>
        <w:pStyle w:val="Compact"/>
      </w:pPr>
      <w:r>
        <w:rPr>
          <w:bCs/>
          <w:b/>
        </w:rPr>
        <w:t xml:space="preserve">Professional Services:</w:t>
      </w:r>
      <w:r>
        <w:t xml:space="preserve"> </w:t>
      </w:r>
      <w:r>
        <w:t xml:space="preserve">Legal firms (e.g., DLA Piper Morocco) and agencies adopted the platform for client-facing content, contributing 28% of revenue.</w:t>
      </w:r>
    </w:p>
    <w:p>
      <w:pPr>
        <w:numPr>
          <w:ilvl w:val="0"/>
          <w:numId w:val="1001"/>
        </w:numPr>
        <w:pStyle w:val="Compact"/>
      </w:pPr>
      <w:r>
        <w:rPr>
          <w:bCs/>
          <w:b/>
        </w:rPr>
        <w:t xml:space="preserve">SME Growth:</w:t>
      </w:r>
      <w:r>
        <w:t xml:space="preserve"> </w:t>
      </w:r>
      <w:r>
        <w:t xml:space="preserve">79 new small businesses in Casablanca’s Hay Hassani district subscribed to the entry-tier plan, reflecting strong grassroots adoption.</w:t>
      </w:r>
    </w:p>
    <w:p>
      <w:pPr>
        <w:pStyle w:val="FirstParagraph"/>
      </w:pPr>
      <w:r>
        <w:t xml:space="preserve">Customer acquisition cost (CAC) decreased by 22% due to strategic partnerships with Casablanca-based tech incubators like</w:t>
      </w:r>
      <w:r>
        <w:t xml:space="preserve"> </w:t>
      </w:r>
      <w:r>
        <w:rPr>
          <w:iCs/>
          <w:i/>
        </w:rPr>
        <w:t xml:space="preserve">Moroccan Tech Hub</w:t>
      </w:r>
      <w:r>
        <w:t xml:space="preserve">, which bundled</w:t>
      </w:r>
      <w:r>
        <w:t xml:space="preserve"> </w:t>
      </w:r>
      <w:r>
        <w:rPr>
          <w:iCs/>
          <w:i/>
        </w:rPr>
        <w:t xml:space="preserve">Editor</w:t>
      </w:r>
      <w:r>
        <w:t xml:space="preserve"> </w:t>
      </w:r>
      <w:r>
        <w:t xml:space="preserve">into their startup onboarding packages. Retention rates hit 85%—above the global SaaS average of 76%—owing to localized customer support (Moroccan Arabic-speaking agents available 24/7).</w:t>
      </w:r>
    </w:p>
    <w:bookmarkEnd w:id="22"/>
    <w:bookmarkStart w:id="23" w:name="key-challenges-in-morocco-casablanca"/>
    <w:p>
      <w:pPr>
        <w:pStyle w:val="Heading2"/>
      </w:pPr>
      <w:r>
        <w:t xml:space="preserve">Key Challenges in Morocco Casablanca</w:t>
      </w:r>
    </w:p>
    <w:p>
      <w:pPr>
        <w:pStyle w:val="FirstParagraph"/>
      </w:pPr>
      <w:r>
        <w:t xml:space="preserve">Despite strong performance, two challenges emerged:</w:t>
      </w:r>
    </w:p>
    <w:p>
      <w:pPr>
        <w:numPr>
          <w:ilvl w:val="0"/>
          <w:numId w:val="1002"/>
        </w:numPr>
        <w:pStyle w:val="Compact"/>
      </w:pPr>
      <w:r>
        <w:rPr>
          <w:bCs/>
          <w:b/>
        </w:rPr>
        <w:t xml:space="preserve">Cultural Nuance Gaps:</w:t>
      </w:r>
      <w:r>
        <w:t xml:space="preserve"> </w:t>
      </w:r>
      <w:r>
        <w:t xml:space="preserve">Early versions of the platform lacked region-specific templates (e.g., for Eid celebrations). Post-feedback, we launched 15 Morocco-centric assets in Q2 2024, boosting conversions by 19%.</w:t>
      </w:r>
    </w:p>
    <w:p>
      <w:pPr>
        <w:numPr>
          <w:ilvl w:val="0"/>
          <w:numId w:val="1002"/>
        </w:numPr>
        <w:pStyle w:val="Compact"/>
      </w:pPr>
      <w:r>
        <w:rPr>
          <w:bCs/>
          <w:b/>
        </w:rPr>
        <w:t xml:space="preserve">Pricing Sensitivity:</w:t>
      </w:r>
      <w:r>
        <w:t xml:space="preserve"> </w:t>
      </w:r>
      <w:r>
        <w:t xml:space="preserve">Some SMEs hesitated at tiered pricing. We introduced a "Casablanca Startup Package" (75% discount for first 6 months), securing 33 new clients in Q3 alone.</w:t>
      </w:r>
    </w:p>
    <w:bookmarkEnd w:id="23"/>
    <w:bookmarkStart w:id="24" w:name="customer-success-stories"/>
    <w:p>
      <w:pPr>
        <w:pStyle w:val="Heading2"/>
      </w:pPr>
      <w:r>
        <w:t xml:space="preserve">Customer Success Stories</w:t>
      </w:r>
    </w:p>
    <w:p>
      <w:pPr>
        <w:pStyle w:val="FirstParagraph"/>
      </w:pPr>
      <w:r>
        <w:rPr>
          <w:iCs/>
          <w:i/>
        </w:rPr>
        <w:t xml:space="preserve">Editor</w:t>
      </w:r>
      <w:r>
        <w:t xml:space="preserve">'s impact is evident in Casablanca success cases:</w:t>
      </w:r>
    </w:p>
    <w:p>
      <w:pPr>
        <w:numPr>
          <w:ilvl w:val="0"/>
          <w:numId w:val="1003"/>
        </w:numPr>
        <w:pStyle w:val="Compact"/>
      </w:pPr>
      <w:r>
        <w:rPr>
          <w:bCs/>
          <w:b/>
        </w:rPr>
        <w:t xml:space="preserve">Nouvelles du Maroc (Local Media):</w:t>
      </w:r>
      <w:r>
        <w:t xml:space="preserve"> </w:t>
      </w:r>
      <w:r>
        <w:t xml:space="preserve">Reduced content production time by 55% using the platform’s Darija-friendly workflow. Sales grew 31% during Ramadan 2024.</w:t>
      </w:r>
    </w:p>
    <w:p>
      <w:pPr>
        <w:numPr>
          <w:ilvl w:val="0"/>
          <w:numId w:val="1003"/>
        </w:numPr>
        <w:pStyle w:val="Compact"/>
      </w:pPr>
      <w:r>
        <w:rPr>
          <w:bCs/>
          <w:b/>
        </w:rPr>
        <w:t xml:space="preserve">Al Mada Group (Real Estate):</w:t>
      </w:r>
      <w:r>
        <w:t xml:space="preserve"> </w:t>
      </w:r>
      <w:r>
        <w:t xml:space="preserve">Launched a Casablanca-specific virtual tour feature via</w:t>
      </w:r>
      <w:r>
        <w:t xml:space="preserve"> </w:t>
      </w:r>
      <w:r>
        <w:rPr>
          <w:iCs/>
          <w:i/>
        </w:rPr>
        <w:t xml:space="preserve">Editor</w:t>
      </w:r>
      <w:r>
        <w:t xml:space="preserve">, generating $48,000 in lead revenue within two months.</w:t>
      </w:r>
    </w:p>
    <w:bookmarkEnd w:id="24"/>
    <w:bookmarkStart w:id="25" w:name="Xa12a77db911e4970390b24ddd9dcb96768ddb33"/>
    <w:p>
      <w:pPr>
        <w:pStyle w:val="Heading2"/>
      </w:pPr>
      <w:r>
        <w:t xml:space="preserve">Strategic Recommendations for Morocco Casablanca</w:t>
      </w:r>
    </w:p>
    <w:p>
      <w:pPr>
        <w:pStyle w:val="FirstParagraph"/>
      </w:pPr>
      <w:r>
        <w:t xml:space="preserve">To sustain growth, this Sales Report recommends:</w:t>
      </w:r>
    </w:p>
    <w:p>
      <w:pPr>
        <w:numPr>
          <w:ilvl w:val="0"/>
          <w:numId w:val="1004"/>
        </w:numPr>
        <w:pStyle w:val="Compact"/>
      </w:pPr>
      <w:r>
        <w:rPr>
          <w:bCs/>
          <w:b/>
        </w:rPr>
        <w:t xml:space="preserve">Deepen Local Partnerships:</w:t>
      </w:r>
      <w:r>
        <w:t xml:space="preserve"> </w:t>
      </w:r>
      <w:r>
        <w:t xml:space="preserve">Collaborate with Casablanca universities (e.g., Hassan II University) for student developer programs to foster talent and brand affinity.</w:t>
      </w:r>
    </w:p>
    <w:p>
      <w:pPr>
        <w:numPr>
          <w:ilvl w:val="0"/>
          <w:numId w:val="1004"/>
        </w:numPr>
        <w:pStyle w:val="Compact"/>
      </w:pPr>
      <w:r>
        <w:rPr>
          <w:bCs/>
          <w:b/>
        </w:rPr>
        <w:t xml:space="preserve">Leverage Government Initiatives:</w:t>
      </w:r>
      <w:r>
        <w:t xml:space="preserve"> </w:t>
      </w:r>
      <w:r>
        <w:t xml:space="preserve">Align with Morocco’s Digital Transformation Strategy 2030, targeting public-sector clients in Casablanca’s administrative zones.</w:t>
      </w:r>
    </w:p>
    <w:p>
      <w:pPr>
        <w:numPr>
          <w:ilvl w:val="0"/>
          <w:numId w:val="1004"/>
        </w:numPr>
        <w:pStyle w:val="Compact"/>
      </w:pPr>
      <w:r>
        <w:rPr>
          <w:bCs/>
          <w:b/>
        </w:rPr>
        <w:t xml:space="preserve">Enhance Offline Integration:</w:t>
      </w:r>
      <w:r>
        <w:t xml:space="preserve"> </w:t>
      </w:r>
      <w:r>
        <w:t xml:space="preserve">Develop QR code-based training workshops at Casablanca tech fairs (e.g., MARS Conference) to onboard non-digital-native businesses.</w:t>
      </w:r>
    </w:p>
    <w:bookmarkEnd w:id="25"/>
    <w:bookmarkStart w:id="26" w:name="Xdcac3dec584ad9002c0bcca775a9aff9dbe0a8b"/>
    <w:p>
      <w:pPr>
        <w:pStyle w:val="Heading2"/>
      </w:pPr>
      <w:r>
        <w:t xml:space="preserve">Conclusion: The Future of Editor in Morocco Casablanca</w:t>
      </w:r>
    </w:p>
    <w:p>
      <w:pPr>
        <w:pStyle w:val="FirstParagraph"/>
      </w:pPr>
      <w:r>
        <w:t xml:space="preserve">The Sales Report underscores that</w:t>
      </w:r>
      <w:r>
        <w:t xml:space="preserve"> </w:t>
      </w:r>
      <w:r>
        <w:rPr>
          <w:iCs/>
          <w:i/>
        </w:rPr>
        <w:t xml:space="preserve">Editor</w:t>
      </w:r>
      <w:r>
        <w:t xml:space="preserve"> </w:t>
      </w:r>
      <w:r>
        <w:t xml:space="preserve">is no longer just a tool—it’s a catalyst for Moroccan businesses in Casablanca to thrive digitally. With 94% of current clients planning multi-year contracts and emerging demand from manufacturing (e.g., automotive suppliers in Casablanca’s industrial belt), the platform’s trajectory is exceptionally strong. As Morocco prioritizes digital economy growth under its "Maroc 2030" vision,</w:t>
      </w:r>
      <w:r>
        <w:t xml:space="preserve"> </w:t>
      </w:r>
      <w:r>
        <w:rPr>
          <w:iCs/>
          <w:i/>
        </w:rPr>
        <w:t xml:space="preserve">Editor</w:t>
      </w:r>
      <w:r>
        <w:t xml:space="preserve">’s Casablanca operations will be pivotal to capturing a 35% market share by 2026. This Sales Report reaffirms that localization isn’t optional—it’s the key to unlocking Morocco’s most valuable market.</w:t>
      </w:r>
    </w:p>
    <w:bookmarkEnd w:id="26"/>
    <w:bookmarkStart w:id="27" w:name="acknowledgments"/>
    <w:p>
      <w:pPr>
        <w:pStyle w:val="Heading2"/>
      </w:pPr>
      <w:r>
        <w:t xml:space="preserve">Acknowledgments</w:t>
      </w:r>
    </w:p>
    <w:p>
      <w:pPr>
        <w:pStyle w:val="FirstParagraph"/>
      </w:pPr>
      <w:r>
        <w:t xml:space="preserve">Prepared with insights from Casablanca field teams, client interviews (including 47 SMEs in the city), and data from Morocco’s National Office of Statistics. Special thanks to our local partners: Maroc Telecom for infrastructure support and the Casablanca Chamber of Commerce for market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Performance in Morocco Casablanca</dc:title>
  <dc:creator/>
  <dc:language>en</dc:language>
  <cp:keywords/>
  <dcterms:created xsi:type="dcterms:W3CDTF">2026-07-21T08:36:23Z</dcterms:created>
  <dcterms:modified xsi:type="dcterms:W3CDTF">2026-07-21T08:36:23Z</dcterms:modified>
</cp:coreProperties>
</file>

<file path=docProps/custom.xml><?xml version="1.0" encoding="utf-8"?>
<Properties xmlns="http://schemas.openxmlformats.org/officeDocument/2006/custom-properties" xmlns:vt="http://schemas.openxmlformats.org/officeDocument/2006/docPropsVTypes"/>
</file>