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Performance</w:t>
      </w:r>
      <w:r>
        <w:t xml:space="preserve"> </w:t>
      </w:r>
      <w:r>
        <w:t xml:space="preserve">Report:</w:t>
      </w:r>
      <w:r>
        <w:t xml:space="preserve"> </w:t>
      </w:r>
      <w:r>
        <w:t xml:space="preserve">Netherlands</w:t>
      </w:r>
      <w:r>
        <w:t xml:space="preserve"> </w:t>
      </w:r>
      <w:r>
        <w:t xml:space="preserve">Amsterdam</w:t>
      </w:r>
      <w:r>
        <w:t xml:space="preserve"> </w:t>
      </w:r>
      <w:r>
        <w:t xml:space="preserve">Market</w:t>
      </w:r>
    </w:p>
    <w:bookmarkStart w:id="29" w:name="X5f5fea2f47c065339cb10fa7768dc1f2042e735"/>
    <w:p>
      <w:pPr>
        <w:pStyle w:val="Heading1"/>
      </w:pPr>
      <w:r>
        <w:t xml:space="preserve">Sales Performance Report: Editorial Services in Netherlands Amsterdam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our editorial services across the Netherlands Amsterdam market, highlighting significant growth, strategic wins, and future opportunities. The Netherlands Amsterdam region has emerged as a critical revenue driver for our global editorial division, with Q3 sales achieving a remarkable 27% year-over-year increase. This surge underscores the growing demand for premium editorial solutions in one of Europe's most dynamic business hubs. As the premier provider of professional editing services in Netherlands Amsterdam, our team has successfully positioned</w:t>
      </w:r>
      <w:r>
        <w:t xml:space="preserve"> </w:t>
      </w:r>
      <w:r>
        <w:rPr>
          <w:iCs/>
          <w:i/>
        </w:rPr>
        <w:t xml:space="preserve">Editor</w:t>
      </w:r>
      <w:r>
        <w:t xml:space="preserve"> </w:t>
      </w:r>
      <w:r>
        <w:t xml:space="preserve">as the indispensable partner for multinational corporations, creative agencies, and academic institutions navigating complex content landscapes.</w:t>
      </w:r>
    </w:p>
    <w:bookmarkEnd w:id="20"/>
    <w:bookmarkStart w:id="21" w:name="q3-sales-performance-highlights"/>
    <w:p>
      <w:pPr>
        <w:pStyle w:val="Heading2"/>
      </w:pPr>
      <w:r>
        <w:t xml:space="preserve">Q3 Sales Performance Highlights</w:t>
      </w:r>
    </w:p>
    <w:p>
      <w:pPr>
        <w:pStyle w:val="FirstParagraph"/>
      </w:pPr>
      <w:r>
        <w:t xml:space="preserve">The Netherlands Amsterdam market delivered exceptional results this quarter, contributing €1.48M to total global revenue (31% of regional sales). Key achievements include:</w:t>
      </w:r>
    </w:p>
    <w:p>
      <w:pPr>
        <w:numPr>
          <w:ilvl w:val="0"/>
          <w:numId w:val="1001"/>
        </w:numPr>
        <w:pStyle w:val="Compact"/>
      </w:pPr>
      <w:r>
        <w:rPr>
          <w:bCs/>
          <w:b/>
        </w:rPr>
        <w:t xml:space="preserve">Client Acquisition:</w:t>
      </w:r>
      <w:r>
        <w:t xml:space="preserve"> </w:t>
      </w:r>
      <w:r>
        <w:t xml:space="preserve">Secured 18 new enterprise clients including three Fortune 500 headquarters in Amsterdam (including a major Dutch banking institution and a leading life sciences firm)</w:t>
      </w:r>
    </w:p>
    <w:p>
      <w:pPr>
        <w:numPr>
          <w:ilvl w:val="0"/>
          <w:numId w:val="1001"/>
        </w:numPr>
        <w:pStyle w:val="Compact"/>
      </w:pPr>
      <w:r>
        <w:rPr>
          <w:bCs/>
          <w:b/>
        </w:rPr>
        <w:t xml:space="preserve">Revenue Growth:</w:t>
      </w:r>
      <w:r>
        <w:t xml:space="preserve"> </w:t>
      </w:r>
      <w:r>
        <w:t xml:space="preserve">Subscription-based editorial services grew by 39% YoY, driven by demand for multilingual content editing in Dutch, English, and German</w:t>
      </w:r>
    </w:p>
    <w:p>
      <w:pPr>
        <w:numPr>
          <w:ilvl w:val="0"/>
          <w:numId w:val="1001"/>
        </w:numPr>
        <w:pStyle w:val="Compact"/>
      </w:pPr>
      <w:r>
        <w:rPr>
          <w:bCs/>
          <w:b/>
        </w:rPr>
        <w:t xml:space="preserve">Client Retention:</w:t>
      </w:r>
      <w:r>
        <w:t xml:space="preserve"> </w:t>
      </w:r>
      <w:r>
        <w:t xml:space="preserve">Achieved 94% retention rate among existing Netherlands Amsterdam clients – surpassing the global average of 87%</w:t>
      </w:r>
    </w:p>
    <w:p>
      <w:pPr>
        <w:numPr>
          <w:ilvl w:val="0"/>
          <w:numId w:val="1001"/>
        </w:numPr>
        <w:pStyle w:val="Compact"/>
      </w:pPr>
      <w:r>
        <w:rPr>
          <w:bCs/>
          <w:b/>
        </w:rPr>
        <w:t xml:space="preserve">Expansion:</w:t>
      </w:r>
      <w:r>
        <w:t xml:space="preserve"> </w:t>
      </w:r>
      <w:r>
        <w:t xml:space="preserve">Increased average contract value by 22% through upselling premium editorial packages (including AI-assisted editing and compliance-focused content review)</w:t>
      </w:r>
    </w:p>
    <w:p>
      <w:pPr>
        <w:pStyle w:val="FirstParagraph"/>
      </w:pPr>
      <w:r>
        <w:t xml:space="preserve">Our Amsterdam-based sales team, operating from the central office at Korte Vijverberg 10, successfully closed three major deals exceeding €250K each – a first for our Netherlands Amsterdam operations. The most significant win was with</w:t>
      </w:r>
      <w:r>
        <w:t xml:space="preserve"> </w:t>
      </w:r>
      <w:r>
        <w:rPr>
          <w:iCs/>
          <w:i/>
        </w:rPr>
        <w:t xml:space="preserve">Nederlandse Medische Vereniging</w:t>
      </w:r>
      <w:r>
        <w:t xml:space="preserve"> </w:t>
      </w:r>
      <w:r>
        <w:t xml:space="preserve">(Dutch Medical Association), securing a 3-year contract for all academic journal editing services across their 12 affiliated hospitals.</w:t>
      </w:r>
    </w:p>
    <w:bookmarkEnd w:id="21"/>
    <w:bookmarkStart w:id="22" w:name="X28b84ac9ab3e7df5012505b3855b5f2b58f04d0"/>
    <w:p>
      <w:pPr>
        <w:pStyle w:val="Heading2"/>
      </w:pPr>
      <w:r>
        <w:t xml:space="preserve">Market Analysis: Why Editor Dominates Amsterdam</w:t>
      </w:r>
    </w:p>
    <w:p>
      <w:pPr>
        <w:pStyle w:val="FirstParagraph"/>
      </w:pPr>
      <w:r>
        <w:t xml:space="preserve">The Netherlands Amsterdam market has become the epicenter of our European editorial growth due to several unique factors:</w:t>
      </w:r>
    </w:p>
    <w:p>
      <w:pPr>
        <w:numPr>
          <w:ilvl w:val="0"/>
          <w:numId w:val="1002"/>
        </w:numPr>
        <w:pStyle w:val="Compact"/>
      </w:pPr>
      <w:r>
        <w:rPr>
          <w:bCs/>
          <w:b/>
        </w:rPr>
        <w:t xml:space="preserve">Strategic Business Hub:</w:t>
      </w:r>
      <w:r>
        <w:t xml:space="preserve"> </w:t>
      </w:r>
      <w:r>
        <w:t xml:space="preserve">Amsterdam hosts 107 Fortune 500 companies, creating constant demand for high-stakes content editing in finance, healthcare, and tech sectors. Our local office at the heart of this ecosystem allows rapid response to client needs.</w:t>
      </w:r>
    </w:p>
    <w:p>
      <w:pPr>
        <w:numPr>
          <w:ilvl w:val="0"/>
          <w:numId w:val="1002"/>
        </w:numPr>
        <w:pStyle w:val="Compact"/>
      </w:pPr>
      <w:r>
        <w:rPr>
          <w:bCs/>
          <w:b/>
        </w:rPr>
        <w:t xml:space="preserve">Cultural Nuance Expertise:</w:t>
      </w:r>
      <w:r>
        <w:t xml:space="preserve"> </w:t>
      </w:r>
      <w:r>
        <w:t xml:space="preserve">The Editor team's deep understanding of Dutch business communication norms (e.g., preference for direct yet polite tone) sets us apart from international competitors. We've developed specialized editorial guidelines for Netherlands Amsterdam corporate culture.</w:t>
      </w:r>
    </w:p>
    <w:p>
      <w:pPr>
        <w:numPr>
          <w:ilvl w:val="0"/>
          <w:numId w:val="1002"/>
        </w:numPr>
        <w:pStyle w:val="Compact"/>
      </w:pPr>
      <w:r>
        <w:rPr>
          <w:bCs/>
          <w:b/>
        </w:rPr>
        <w:t xml:space="preserve">Digital Transformation Wave:</w:t>
      </w:r>
      <w:r>
        <w:t xml:space="preserve"> </w:t>
      </w:r>
      <w:r>
        <w:t xml:space="preserve">With 83% of Dutch enterprises prioritizing content modernization (Per McKinsey 2023), our AI-enhanced editorial platform has become essential for compliance with GDPR and local content standards.</w:t>
      </w:r>
    </w:p>
    <w:p>
      <w:pPr>
        <w:pStyle w:val="FirstParagraph"/>
      </w:pPr>
      <w:r>
        <w:t xml:space="preserve">Notably, the Netherlands Amsterdam market now represents 47% of our total EMEA editorial revenue – up from 31% in Q3 2022. This growth was fueled by our strategic partnership with</w:t>
      </w:r>
      <w:r>
        <w:t xml:space="preserve"> </w:t>
      </w:r>
      <w:r>
        <w:rPr>
          <w:iCs/>
          <w:i/>
        </w:rPr>
        <w:t xml:space="preserve">AWS Amsterdam</w:t>
      </w:r>
      <w:r>
        <w:t xml:space="preserve">, which integrated our Editor platform into their cloud solutions for Dutch startups.</w:t>
      </w:r>
    </w:p>
    <w:bookmarkEnd w:id="22"/>
    <w:bookmarkStart w:id="25" w:name="X4247546be7c7e1b4a009c5a499882ae90e287aa"/>
    <w:p>
      <w:pPr>
        <w:pStyle w:val="Heading2"/>
      </w:pPr>
      <w:r>
        <w:t xml:space="preserve">Key Client Success Stories: Editor in Action</w:t>
      </w:r>
    </w:p>
    <w:p>
      <w:pPr>
        <w:pStyle w:val="FirstParagraph"/>
      </w:pPr>
      <w:r>
        <w:t xml:space="preserve">Two flagship projects demonstrate the tangible value of Editor services in Netherlands Amsterdam:</w:t>
      </w:r>
    </w:p>
    <w:bookmarkStart w:id="23" w:name="X7847b86140450c1f628f88813fdc71adbbdd38a"/>
    <w:p>
      <w:pPr>
        <w:pStyle w:val="Heading3"/>
      </w:pPr>
      <w:r>
        <w:t xml:space="preserve">Project 1: ABN AMRO Digital Transformation</w:t>
      </w:r>
    </w:p>
    <w:p>
      <w:pPr>
        <w:pStyle w:val="FirstParagraph"/>
      </w:pPr>
      <w:r>
        <w:t xml:space="preserve">As ABN AMRO modernized its customer-facing content, our Editorial team processed 57,000+ pages of financial documentation. The Editor platform's Dutch-English bilingual workflow reduced editing time by 42% while ensuring compliance with Dutch Financial Markets Authority (AFM) regulations. Result: €386K contract renewal with option for full-scale integration.</w:t>
      </w:r>
    </w:p>
    <w:bookmarkEnd w:id="23"/>
    <w:bookmarkStart w:id="24" w:name="Xb5334ca8fbff8a748e4402009eea4d42754e4fb"/>
    <w:p>
      <w:pPr>
        <w:pStyle w:val="Heading3"/>
      </w:pPr>
      <w:r>
        <w:t xml:space="preserve">Project 2: University of Amsterdam Academic Publishing</w:t>
      </w:r>
    </w:p>
    <w:p>
      <w:pPr>
        <w:pStyle w:val="FirstParagraph"/>
      </w:pPr>
      <w:r>
        <w:t xml:space="preserve">The university's research division engaged Editor to manage peer review content across 14 medical journals. Our localized solution addressed specific Dutch academic citation standards, reducing publication delays by 65%. The project expanded from one department to the entire university system – adding €192K in recurring revenue.</w:t>
      </w:r>
    </w:p>
    <w:bookmarkEnd w:id="24"/>
    <w:bookmarkEnd w:id="25"/>
    <w:bookmarkStart w:id="26" w:name="challenges-and-strategic-response"/>
    <w:p>
      <w:pPr>
        <w:pStyle w:val="Heading2"/>
      </w:pPr>
      <w:r>
        <w:t xml:space="preserve">Challenges and Strategic Response</w:t>
      </w:r>
    </w:p>
    <w:p>
      <w:pPr>
        <w:pStyle w:val="FirstParagraph"/>
      </w:pPr>
      <w:r>
        <w:t xml:space="preserve">Despite strong growth, we identified two key challenges in Netherlands Amsterdam:</w:t>
      </w:r>
    </w:p>
    <w:p>
      <w:pPr>
        <w:numPr>
          <w:ilvl w:val="0"/>
          <w:numId w:val="1003"/>
        </w:numPr>
        <w:pStyle w:val="Compact"/>
      </w:pPr>
      <w:r>
        <w:rPr>
          <w:bCs/>
          <w:b/>
        </w:rPr>
        <w:t xml:space="preserve">Talent Shortage:</w:t>
      </w:r>
      <w:r>
        <w:t xml:space="preserve"> </w:t>
      </w:r>
      <w:r>
        <w:t xml:space="preserve">73% of Dutch editors lack specialized industry knowledge. Our response: Launched "Amsterdam Editorial Academy" with partnerships at VU University Amsterdam, training 45 new local specialists.</w:t>
      </w:r>
    </w:p>
    <w:p>
      <w:pPr>
        <w:numPr>
          <w:ilvl w:val="0"/>
          <w:numId w:val="1003"/>
        </w:numPr>
        <w:pStyle w:val="Compact"/>
      </w:pPr>
      <w:r>
        <w:rPr>
          <w:bCs/>
          <w:b/>
        </w:rPr>
        <w:t xml:space="preserve">Compliance Complexity:</w:t>
      </w:r>
      <w:r>
        <w:t xml:space="preserve"> </w:t>
      </w:r>
      <w:r>
        <w:t xml:space="preserve">Dutch data laws require unique content handling. We developed "Nederlandse Edit Compliance Suite" (NECS) – now used by 89% of our Netherlands Amsterdam clients – ensuring automatic GDPR alignment during editing workflows.</w:t>
      </w:r>
    </w:p>
    <w:p>
      <w:pPr>
        <w:pStyle w:val="FirstParagraph"/>
      </w:pPr>
      <w:r>
        <w:t xml:space="preserve">This investment directly contributed to our 27% Q3 growth, with NECS adoption accelerating client acquisition by 33%.</w:t>
      </w:r>
    </w:p>
    <w:bookmarkEnd w:id="26"/>
    <w:bookmarkStart w:id="27" w:name="Xa73844803b1081065a582299b958316519f71ac"/>
    <w:p>
      <w:pPr>
        <w:pStyle w:val="Heading2"/>
      </w:pPr>
      <w:r>
        <w:t xml:space="preserve">Future Outlook: Scaling Editor in Netherlands Amsterdam</w:t>
      </w:r>
    </w:p>
    <w:p>
      <w:pPr>
        <w:pStyle w:val="FirstParagraph"/>
      </w:pPr>
      <w:r>
        <w:t xml:space="preserve">With the Netherlands Amsterdam market showing exceptional promise, we're implementing three strategic initiatives:</w:t>
      </w:r>
    </w:p>
    <w:p>
      <w:pPr>
        <w:numPr>
          <w:ilvl w:val="0"/>
          <w:numId w:val="1004"/>
        </w:numPr>
        <w:pStyle w:val="Compact"/>
      </w:pPr>
      <w:r>
        <w:rPr>
          <w:bCs/>
          <w:b/>
        </w:rPr>
        <w:t xml:space="preserve">Localized AI Training:</w:t>
      </w:r>
      <w:r>
        <w:t xml:space="preserve"> </w:t>
      </w:r>
      <w:r>
        <w:t xml:space="preserve">Investing €500K to train our Editor AI specifically on Dutch business language patterns (launching Q1 2024), targeting a 35% productivity boost for local teams.</w:t>
      </w:r>
    </w:p>
    <w:p>
      <w:pPr>
        <w:numPr>
          <w:ilvl w:val="0"/>
          <w:numId w:val="1004"/>
        </w:numPr>
        <w:pStyle w:val="Compact"/>
      </w:pPr>
      <w:r>
        <w:rPr>
          <w:bCs/>
          <w:b/>
        </w:rPr>
        <w:t xml:space="preserve">Amsterdam Innovation Hub:</w:t>
      </w:r>
      <w:r>
        <w:t xml:space="preserve"> </w:t>
      </w:r>
      <w:r>
        <w:t xml:space="preserve">Expanding our office space at Korte Vijverberg 10 by 40% to accommodate growing client-facing and editorial staff – becoming the first European headquarters for all Editor operations in Netherlands Amsterdam.</w:t>
      </w:r>
    </w:p>
    <w:p>
      <w:pPr>
        <w:numPr>
          <w:ilvl w:val="0"/>
          <w:numId w:val="1004"/>
        </w:numPr>
        <w:pStyle w:val="Compact"/>
      </w:pPr>
      <w:r>
        <w:rPr>
          <w:bCs/>
          <w:b/>
        </w:rPr>
        <w:t xml:space="preserve">Sustainability Integration:</w:t>
      </w:r>
      <w:r>
        <w:t xml:space="preserve"> </w:t>
      </w:r>
      <w:r>
        <w:t xml:space="preserve">Launching "Green Edit" service (digital-only workflows reducing paper use by 92%) – resonating strongly with Amsterdam's carbon-neutral business goals. Early adopters include 12 major firms from the Amsterdam Smart City initiative.</w:t>
      </w:r>
    </w:p>
    <w:bookmarkEnd w:id="27"/>
    <w:bookmarkStart w:id="28" w:name="conclusion"/>
    <w:p>
      <w:pPr>
        <w:pStyle w:val="Heading2"/>
      </w:pPr>
      <w:r>
        <w:t xml:space="preserve">Conclusion</w:t>
      </w:r>
    </w:p>
    <w:p>
      <w:pPr>
        <w:pStyle w:val="FirstParagraph"/>
      </w:pPr>
      <w:r>
        <w:t xml:space="preserve">The Netherlands Amsterdam market has unequivocally proven to be our most valuable regional segment for Editor services. This Q3 performance – driven by deep cultural understanding, strategic partnerships, and localized solutions – demonstrates that editorial excellence is now central to business success in the Dutch capital. As we continue to scale Editor operations across Netherlands Amsterdam, we project 35%+ annual revenue growth through 2024. Our Amsterdam office isn't just a regional hub; it's the proving ground for our global editorial strategy, where every successful</w:t>
      </w:r>
      <w:r>
        <w:t xml:space="preserve"> </w:t>
      </w:r>
      <w:r>
        <w:rPr>
          <w:iCs/>
          <w:i/>
        </w:rPr>
        <w:t xml:space="preserve">Editor</w:t>
      </w:r>
      <w:r>
        <w:t xml:space="preserve"> </w:t>
      </w:r>
      <w:r>
        <w:t xml:space="preserve">implementation strengthens our position as the premier content partner in Europe's most innovative business ecosystem.</w:t>
      </w:r>
    </w:p>
    <w:p>
      <w:pPr>
        <w:pStyle w:val="BodyText"/>
      </w:pPr>
      <w:r>
        <w:rPr>
          <w:bCs/>
          <w:b/>
        </w:rPr>
        <w:t xml:space="preserve">Recommendation:</w:t>
      </w:r>
      <w:r>
        <w:t xml:space="preserve"> </w:t>
      </w:r>
      <w:r>
        <w:t xml:space="preserve">Allocate additional resources to Netherlands Amsterdam operations, including expanding the dedicated local sales team by 25% and accelerating NECS integration across all new contracts. This market is not merely growing – it's defining the future of editorial excellence for our global brand.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Performance Report: Netherlands Amsterdam Market</dc:title>
  <dc:creator/>
  <dc:language>en</dc:language>
  <cp:keywords/>
  <dcterms:created xsi:type="dcterms:W3CDTF">2026-07-21T13:43:22Z</dcterms:created>
  <dcterms:modified xsi:type="dcterms:W3CDTF">2026-07-21T13:43:22Z</dcterms:modified>
</cp:coreProperties>
</file>

<file path=docProps/custom.xml><?xml version="1.0" encoding="utf-8"?>
<Properties xmlns="http://schemas.openxmlformats.org/officeDocument/2006/custom-properties" xmlns:vt="http://schemas.openxmlformats.org/officeDocument/2006/docPropsVTypes"/>
</file>