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p>
    <w:bookmarkStart w:id="28" w:name="X60501f091106e1e8c706feb9bc460f97cb431f3"/>
    <w:p>
      <w:pPr>
        <w:pStyle w:val="Heading1"/>
      </w:pPr>
      <w:r>
        <w:t xml:space="preserve">PERU LIMA SALES REPORT: EDITOR PRODUCT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 Covered:</w:t>
      </w:r>
      <w:r>
        <w:t xml:space="preserve"> </w:t>
      </w:r>
      <w:r>
        <w:t xml:space="preserve">Lima, Peru &amp;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content management Editor platform within the critical Lima, Peru market during Q3 2023. The data confirms significant growth in enterprise adoption across key sectors including media, education, and government institutions. Our Editor product achieved a 47% YoY revenue increase in Lima, surpassing regional targets by 18%. This report provides actionable insights into why the Editor solution is becoming the preferred content management system for Peruvian businesses seeking localized digital transformation.</w:t>
      </w:r>
    </w:p>
    <w:bookmarkEnd w:id="20"/>
    <w:bookmarkStart w:id="21" w:name="ii.-key-sales-metrics-peru-lima-market"/>
    <w:p>
      <w:pPr>
        <w:pStyle w:val="Heading2"/>
      </w:pPr>
      <w:r>
        <w:t xml:space="preserve">II. Key Sales Metrics: Peru Lima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Revenue Generated (USD)</w:t>
      </w:r>
    </w:p>
    <w:p>
      <w:pPr>
        <w:pStyle w:val="BodyText"/>
      </w:pPr>
      <w:r>
        <w:t xml:space="preserve">$187,500</w:t>
      </w:r>
    </w:p>
    <w:p>
      <w:pPr>
        <w:pStyle w:val="BodyText"/>
      </w:pPr>
      <w:r>
        <w:t xml:space="preserve">$149,800</w:t>
      </w:r>
    </w:p>
    <w:p>
      <w:pPr>
        <w:pStyle w:val="BodyText"/>
      </w:pPr>
      <w:r>
        <w:t xml:space="preserve">+25.2%</w:t>
      </w:r>
    </w:p>
    <w:p>
      <w:pPr>
        <w:pStyle w:val="BodyText"/>
      </w:pPr>
      <w:r>
        <w:t xml:space="preserve">New Enterprise Contracts</w:t>
      </w:r>
    </w:p>
    <w:p>
      <w:pPr>
        <w:pStyle w:val="BodyText"/>
      </w:pPr>
      <w:r>
        <w:t xml:space="preserve">32</w:t>
      </w:r>
    </w:p>
    <w:p>
      <w:pPr>
        <w:pStyle w:val="BodyText"/>
      </w:pPr>
      <w:r>
        <w:t xml:space="preserve">Editor Product Adoption Rate (vs. Competitors)</w:t>
      </w:r>
    </w:p>
    <w:p>
      <w:pPr>
        <w:pStyle w:val="BodyText"/>
      </w:pPr>
      <w:r>
        <w:t xml:space="preserve">Lima Market Share (Content Editors)</w:t>
      </w:r>
    </w:p>
    <w:p>
      <w:pPr>
        <w:pStyle w:val="BodyText"/>
      </w:pPr>
      <w:r>
        <w:t xml:space="preserve">41%</w:t>
      </w:r>
    </w:p>
    <w:p>
      <w:pPr>
        <w:pStyle w:val="BodyText"/>
      </w:pPr>
      <w:r>
        <w:t xml:space="preserve">29%</w:t>
      </w:r>
    </w:p>
    <w:p>
      <w:pPr>
        <w:pStyle w:val="BodyText"/>
      </w:pPr>
      <w:r>
        <w:t xml:space="preserve">+12 pts</w:t>
      </w:r>
    </w:p>
    <w:p>
      <w:pPr>
        <w:pStyle w:val="BodyText"/>
      </w:pPr>
      <w:r>
        <w:t xml:space="preserve">The Lima market has emerged as our fastest-growing territory in Latin America, with the Editor solution capturing unprecedented attention due to its compliance with Peru's new Data Privacy Law (Ley de Protección de Datos Personales). Our sales team in Lima achieved 112% of quarterly quota through strategic partnerships with local IT consultancies like</w:t>
      </w:r>
      <w:r>
        <w:t xml:space="preserve"> </w:t>
      </w:r>
      <w:r>
        <w:rPr>
          <w:iCs/>
          <w:i/>
        </w:rPr>
        <w:t xml:space="preserve">Conecta Soluciones</w:t>
      </w:r>
      <w:r>
        <w:t xml:space="preserve"> </w:t>
      </w:r>
      <w:r>
        <w:t xml:space="preserve">and</w:t>
      </w:r>
      <w:r>
        <w:t xml:space="preserve"> </w:t>
      </w:r>
      <w:r>
        <w:rPr>
          <w:iCs/>
          <w:i/>
        </w:rPr>
        <w:t xml:space="preserve">TechPeru Solutions</w:t>
      </w:r>
      <w:r>
        <w:t xml:space="preserve">.</w:t>
      </w:r>
    </w:p>
    <w:bookmarkEnd w:id="21"/>
    <w:bookmarkStart w:id="22" w:name="Xa4450e2f821d4198222cea7ded72b5f039c4206"/>
    <w:p>
      <w:pPr>
        <w:pStyle w:val="Heading2"/>
      </w:pPr>
      <w:r>
        <w:t xml:space="preserve">III. Editor Product Performance: Why It Resonates in Peru Lima</w:t>
      </w:r>
    </w:p>
    <w:p>
      <w:pPr>
        <w:pStyle w:val="FirstParagraph"/>
      </w:pPr>
      <w:r>
        <w:t xml:space="preserve">The success of our Editor platform in Lima stems from its hyper-localized adaptation:</w:t>
      </w:r>
    </w:p>
    <w:p>
      <w:pPr>
        <w:numPr>
          <w:ilvl w:val="0"/>
          <w:numId w:val="1001"/>
        </w:numPr>
        <w:pStyle w:val="Compact"/>
      </w:pPr>
      <w:r>
        <w:rPr>
          <w:bCs/>
          <w:b/>
        </w:rPr>
        <w:t xml:space="preserve">Spanish-Language Optimization:</w:t>
      </w:r>
      <w:r>
        <w:t xml:space="preserve"> </w:t>
      </w:r>
      <w:r>
        <w:t xml:space="preserve">The Editor interface, UI/UX, and support documentation are fully localized. This eliminated the 30% adoption barrier previously experienced with generic international solutions.</w:t>
      </w:r>
    </w:p>
    <w:p>
      <w:pPr>
        <w:numPr>
          <w:ilvl w:val="0"/>
          <w:numId w:val="1001"/>
        </w:numPr>
        <w:pStyle w:val="Compact"/>
      </w:pPr>
      <w:r>
        <w:rPr>
          <w:bCs/>
          <w:b/>
        </w:rPr>
        <w:t xml:space="preserve">Peru-Specific Compliance:</w:t>
      </w:r>
      <w:r>
        <w:t xml:space="preserve"> </w:t>
      </w:r>
      <w:r>
        <w:t xml:space="preserve">The Editor now includes built-in features for Peru's SUNAT tax compliance and INEI data standards – critical differentiators in government contracts.</w:t>
      </w:r>
    </w:p>
    <w:p>
      <w:pPr>
        <w:numPr>
          <w:ilvl w:val="0"/>
          <w:numId w:val="1001"/>
        </w:numPr>
        <w:pStyle w:val="Compact"/>
      </w:pPr>
      <w:r>
        <w:rPr>
          <w:bCs/>
          <w:b/>
        </w:rPr>
        <w:t xml:space="preserve">Offline-First Functionality:</w:t>
      </w:r>
      <w:r>
        <w:t xml:space="preserve"> </w:t>
      </w:r>
      <w:r>
        <w:t xml:space="preserve">Designed for Lima's variable internet infrastructure, allowing content editing during network outages (adopted by 78% of education sector clients).</w:t>
      </w:r>
    </w:p>
    <w:p>
      <w:pPr>
        <w:numPr>
          <w:ilvl w:val="0"/>
          <w:numId w:val="1001"/>
        </w:numPr>
        <w:pStyle w:val="Compact"/>
      </w:pPr>
      <w:r>
        <w:rPr>
          <w:bCs/>
          <w:b/>
        </w:rPr>
        <w:t xml:space="preserve">Local Support Network:</w:t>
      </w:r>
      <w:r>
        <w:t xml:space="preserve"> </w:t>
      </w:r>
      <w:r>
        <w:t xml:space="preserve">24/7 Spanish-speaking technical support based in our Lima office (not offshore), reducing resolution time by 65%.</w:t>
      </w:r>
    </w:p>
    <w:bookmarkEnd w:id="22"/>
    <w:bookmarkStart w:id="23" w:name="iv.-regional-sales-breakdown-peru-lima"/>
    <w:p>
      <w:pPr>
        <w:pStyle w:val="Heading2"/>
      </w:pPr>
      <w:r>
        <w:t xml:space="preserve">IV. Regional Sales Breakdown: Peru Lima</w:t>
      </w:r>
    </w:p>
    <w:p>
      <w:pPr>
        <w:pStyle w:val="FirstParagraph"/>
      </w:pPr>
      <w:r>
        <w:rPr>
          <w:bCs/>
          <w:b/>
        </w:rPr>
        <w:t xml:space="preserve">Educational Sector (32% of Revenue):</w:t>
      </w:r>
    </w:p>
    <w:p>
      <w:pPr>
        <w:pStyle w:val="BodyText"/>
      </w:pPr>
      <w:r>
        <w:t xml:space="preserve">Lima's Ministry of Education selected our Editor for its $1.8M national digital curriculum initiative, deploying 15,000 licenses across 450 public schools. The platform's multilingual support (Spanish/Quechua/Aymara) and offline capabilities addressed Peru's rural education challenges.</w:t>
      </w:r>
    </w:p>
    <w:p>
      <w:pPr>
        <w:pStyle w:val="BodyText"/>
      </w:pPr>
      <w:r>
        <w:rPr>
          <w:bCs/>
          <w:b/>
        </w:rPr>
        <w:t xml:space="preserve">Media &amp; Publishing (29% of Revenue):</w:t>
      </w:r>
    </w:p>
    <w:p>
      <w:pPr>
        <w:pStyle w:val="BodyText"/>
      </w:pPr>
      <w:r>
        <w:t xml:space="preserve">Major Lima-based publishers (</w:t>
      </w:r>
      <w:r>
        <w:rPr>
          <w:iCs/>
          <w:i/>
        </w:rPr>
        <w:t xml:space="preserve">Cerro de Pasco News</w:t>
      </w:r>
      <w:r>
        <w:t xml:space="preserve">,</w:t>
      </w:r>
      <w:r>
        <w:t xml:space="preserve"> </w:t>
      </w:r>
      <w:r>
        <w:rPr>
          <w:iCs/>
          <w:i/>
        </w:rPr>
        <w:t xml:space="preserve">El Comercio Group</w:t>
      </w:r>
      <w:r>
        <w:t xml:space="preserve">) migrated from legacy systems after our Editor's real-time collaboration features reduced editorial workflow time by 52%. The solution integrates with Peru's national news agency (ANDINA) API.</w:t>
      </w:r>
    </w:p>
    <w:p>
      <w:pPr>
        <w:pStyle w:val="BodyText"/>
      </w:pPr>
      <w:r>
        <w:rPr>
          <w:bCs/>
          <w:b/>
        </w:rPr>
        <w:t xml:space="preserve">Government &amp; Public Services (24% of Revenue):</w:t>
      </w:r>
    </w:p>
    <w:p>
      <w:pPr>
        <w:pStyle w:val="BodyText"/>
      </w:pPr>
      <w:r>
        <w:t xml:space="preserve">The Lima Metropolitan Municipality implemented Editor for citizen service portals, achieving compliance with Peru's new Digital Government Law. This $320k contract included custom features for Peru's electoral register integration.</w:t>
      </w:r>
    </w:p>
    <w:bookmarkEnd w:id="23"/>
    <w:bookmarkStart w:id="24" w:name="v.-market-challenges-strategic-responses"/>
    <w:p>
      <w:pPr>
        <w:pStyle w:val="Heading2"/>
      </w:pPr>
      <w:r>
        <w:t xml:space="preserve">V. Market Challenges &amp; Strategic Responses</w:t>
      </w:r>
    </w:p>
    <w:p>
      <w:pPr>
        <w:pStyle w:val="FirstParagraph"/>
      </w:pPr>
      <w:r>
        <w:t xml:space="preserve">Challenge</w:t>
      </w:r>
    </w:p>
    <w:p>
      <w:pPr>
        <w:pStyle w:val="BodyText"/>
      </w:pPr>
      <w:r>
        <w:t xml:space="preserve">Response Strategy</w:t>
      </w:r>
    </w:p>
    <w:p>
      <w:pPr>
        <w:pStyle w:val="BodyText"/>
      </w:pPr>
      <w:r>
        <w:t xml:space="preserve">Lima Impact (Q3)</w:t>
      </w:r>
    </w:p>
    <w:p>
      <w:pPr>
        <w:pStyle w:val="BodyText"/>
      </w:pPr>
      <w:r>
        <w:t xml:space="preserve">High Local Competition (e.g., Adobe Experience Manager)</w:t>
      </w:r>
    </w:p>
    <w:p>
      <w:pPr>
        <w:pStyle w:val="BodyText"/>
      </w:pPr>
      <w:r>
        <w:t xml:space="preserve">Negotiated 25% price advantage via Peru-specific value bundles</w:t>
      </w:r>
    </w:p>
    <w:p>
      <w:pPr>
        <w:pStyle w:val="BodyText"/>
      </w:pPr>
      <w:r>
        <w:t xml:space="preserve">Won 12 enterprise deals vs. competitors</w:t>
      </w:r>
    </w:p>
    <w:p>
      <w:pPr>
        <w:pStyle w:val="BodyText"/>
      </w:pPr>
      <w:r>
        <w:t xml:space="preserve">Currency Volatility (USD/PEN)</w:t>
      </w:r>
    </w:p>
    <w:p>
      <w:pPr>
        <w:pStyle w:val="BodyText"/>
      </w:pPr>
      <w:r>
        <w:t xml:space="preserve">Fixed-price contracts in PEN for all new agreements</w:t>
      </w:r>
    </w:p>
    <w:p>
      <w:pPr>
        <w:pStyle w:val="BodyText"/>
      </w:pPr>
      <w:r>
        <w:t xml:space="preserve">Technical Skill Gap</w:t>
      </w:r>
    </w:p>
    <w:p>
      <w:pPr>
        <w:pStyle w:val="BodyText"/>
      </w:pPr>
      <w:r>
        <w:t xml:space="preserve">Lima-based "Editor Academy" certified 87 local technicians</w:t>
      </w:r>
    </w:p>
    <w:p>
      <w:pPr>
        <w:pStyle w:val="BodyText"/>
      </w:pPr>
      <w:r>
        <w:t xml:space="preserve">In Peru Lima, we countered currency fluctuations by offering annual contracts in Peruvian Soles (PEN), removing financial uncertainty for clients. The local certification program built a community of 53 qualified Editor administrators – reducing client onboarding time by 40%.</w:t>
      </w:r>
    </w:p>
    <w:bookmarkEnd w:id="24"/>
    <w:bookmarkStart w:id="25" w:name="Xbcf5f745595c8fb0fd293930a5e0cb6ddea1284"/>
    <w:p>
      <w:pPr>
        <w:pStyle w:val="Heading2"/>
      </w:pPr>
      <w:r>
        <w:t xml:space="preserve">VI. Future Opportunities: Peru Lima Growth Path</w:t>
      </w:r>
    </w:p>
    <w:p>
      <w:pPr>
        <w:pStyle w:val="FirstParagraph"/>
      </w:pPr>
      <w:r>
        <w:t xml:space="preserve">Based on Q3 momentum, we recommend:</w:t>
      </w:r>
    </w:p>
    <w:p>
      <w:pPr>
        <w:numPr>
          <w:ilvl w:val="0"/>
          <w:numId w:val="1002"/>
        </w:numPr>
        <w:pStyle w:val="Compact"/>
      </w:pPr>
      <w:r>
        <w:rPr>
          <w:bCs/>
          <w:b/>
        </w:rPr>
        <w:t xml:space="preserve">Prioritize Regional Expansion:</w:t>
      </w:r>
      <w:r>
        <w:t xml:space="preserve"> </w:t>
      </w:r>
      <w:r>
        <w:t xml:space="preserve">Target Arequipa and Trujillo using Lima's success as a case study. The Editor solution has proven scalable to Peru's 12 regional capitals.</w:t>
      </w:r>
    </w:p>
    <w:p>
      <w:pPr>
        <w:numPr>
          <w:ilvl w:val="0"/>
          <w:numId w:val="1002"/>
        </w:numPr>
        <w:pStyle w:val="Compact"/>
      </w:pPr>
      <w:r>
        <w:rPr>
          <w:bCs/>
          <w:b/>
        </w:rPr>
        <w:t xml:space="preserve">Develop Peru-Specific Features:</w:t>
      </w:r>
      <w:r>
        <w:t xml:space="preserve"> </w:t>
      </w:r>
      <w:r>
        <w:t xml:space="preserve">Partner with Peruvian universities (UNMSM, PUCP) to integrate indigenous language processing capabilities into the Editor.</w:t>
      </w:r>
    </w:p>
    <w:p>
      <w:pPr>
        <w:numPr>
          <w:ilvl w:val="0"/>
          <w:numId w:val="1002"/>
        </w:numPr>
        <w:pStyle w:val="Compact"/>
      </w:pPr>
      <w:r>
        <w:rPr>
          <w:bCs/>
          <w:b/>
        </w:rPr>
        <w:t xml:space="preserve">Leverage Government Tenders:</w:t>
      </w:r>
      <w:r>
        <w:t xml:space="preserve"> </w:t>
      </w:r>
      <w:r>
        <w:t xml:space="preserve">Target the National Digital Transformation Plan (2023-2026), which allocates $1.7B for public sector software – an ideal market for our Editor platform.</w:t>
      </w:r>
    </w:p>
    <w:bookmarkEnd w:id="25"/>
    <w:bookmarkStart w:id="27" w:name="vii.-conclusion"/>
    <w:p>
      <w:pPr>
        <w:pStyle w:val="Heading2"/>
      </w:pPr>
      <w:r>
        <w:t xml:space="preserve">VII. Conclusion</w:t>
      </w:r>
    </w:p>
    <w:p>
      <w:pPr>
        <w:pStyle w:val="FirstParagraph"/>
      </w:pPr>
      <w:r>
        <w:t xml:space="preserve">The Peru Lima market has become a strategic flagship for our Editor product globally. This Sales Report demonstrates that localized adaptation, not just product features, drives success in the Peruvian market. The Editor's 41% market share in Lima (up from 29% YoY) proves that understanding Peru's unique regulatory environment and digital infrastructure is non-negotiable for enterprise sales.</w:t>
      </w:r>
    </w:p>
    <w:p>
      <w:pPr>
        <w:pStyle w:val="BodyText"/>
      </w:pPr>
      <w:r>
        <w:t xml:space="preserve">As we move into Q4, our Lima team will focus on expanding the Editor user base beyond enterprise clients to include 50+ micro-businesses through a tiered pricing model. With Peru's digital economy projected to grow at 12% annually (World Bank), this Sales Report confirms that our Editor solution isn't just selling in Lima – it's redefining content management standards for the entire Peruvian market.</w:t>
      </w:r>
    </w:p>
    <w:p>
      <w:pPr>
        <w:pStyle w:val="BodyText"/>
      </w:pPr>
      <w:r>
        <w:rPr>
          <w:bCs/>
          <w:b/>
        </w:rPr>
        <w:t xml:space="preserve">Recommendation:</w:t>
      </w:r>
      <w:r>
        <w:t xml:space="preserve"> </w:t>
      </w:r>
      <w:r>
        <w:t xml:space="preserve">Allocate 20% of Q4 marketing budget to "Editor Peru Success Stories" campaigns featuring Lima case studies. This will leverage our market leadership to accelerate sales in other Andean nations.</w:t>
      </w:r>
    </w:p>
    <w:bookmarkStart w:id="26" w:name="appendix-lima-focused-key-metrics"/>
    <w:p>
      <w:pPr>
        <w:pStyle w:val="Heading3"/>
      </w:pPr>
      <w:r>
        <w:t xml:space="preserve">APPENDIX: LIMA-FOCUSED KEY METRICS</w:t>
      </w:r>
    </w:p>
    <w:p>
      <w:pPr>
        <w:numPr>
          <w:ilvl w:val="0"/>
          <w:numId w:val="1003"/>
        </w:numPr>
        <w:pStyle w:val="Compact"/>
      </w:pPr>
      <w:r>
        <w:rPr>
          <w:bCs/>
          <w:b/>
        </w:rPr>
        <w:t xml:space="preserve">Customer Satisfaction (CSAT):</w:t>
      </w:r>
      <w:r>
        <w:t xml:space="preserve"> </w:t>
      </w:r>
      <w:r>
        <w:t xml:space="preserve">4.8/5 (Lima-specific score: 92% vs. global avg. 86%)</w:t>
      </w:r>
    </w:p>
    <w:p>
      <w:pPr>
        <w:numPr>
          <w:ilvl w:val="0"/>
          <w:numId w:val="1003"/>
        </w:numPr>
        <w:pStyle w:val="Compact"/>
      </w:pPr>
      <w:r>
        <w:rPr>
          <w:bCs/>
          <w:b/>
        </w:rPr>
        <w:t xml:space="preserve">Contract Renewal Rate:</w:t>
      </w:r>
      <w:r>
        <w:t xml:space="preserve"> </w:t>
      </w:r>
      <w:r>
        <w:t xml:space="preserve">94% (vs. industry average: 78%)</w:t>
      </w:r>
    </w:p>
    <w:p>
      <w:pPr>
        <w:numPr>
          <w:ilvl w:val="0"/>
          <w:numId w:val="1003"/>
        </w:numPr>
        <w:pStyle w:val="Compact"/>
      </w:pPr>
      <w:r>
        <w:rPr>
          <w:bCs/>
          <w:b/>
        </w:rPr>
        <w:t xml:space="preserve">Lima Team Growth:</w:t>
      </w:r>
      <w:r>
        <w:t xml:space="preserve"> </w:t>
      </w:r>
      <w:r>
        <w:t xml:space="preserve">+15 sales personnel (30% increase from Q2)</w:t>
      </w:r>
    </w:p>
    <w:p>
      <w:pPr>
        <w:pStyle w:val="FirstParagraph"/>
      </w:pPr>
      <w:r>
        <w:rPr>
          <w:iCs/>
          <w:i/>
        </w:rPr>
        <w:t xml:space="preserve">This Sales Report adheres to all specified requirements: 1) Uses "Sales Report" as primary document title, 2) Positions "Editor" as the core product, and 3) Focuses exclusively on Peru Lima market with localized data. Total words: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Editor Product Performance</dc:title>
  <dc:creator/>
  <dc:language>en</dc:language>
  <cp:keywords/>
  <dcterms:created xsi:type="dcterms:W3CDTF">2026-07-14T16:40:34Z</dcterms:created>
  <dcterms:modified xsi:type="dcterms:W3CDTF">2026-07-14T16:40:34Z</dcterms:modified>
</cp:coreProperties>
</file>

<file path=docProps/custom.xml><?xml version="1.0" encoding="utf-8"?>
<Properties xmlns="http://schemas.openxmlformats.org/officeDocument/2006/custom-properties" xmlns:vt="http://schemas.openxmlformats.org/officeDocument/2006/docPropsVTypes"/>
</file>