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Market</w:t>
      </w:r>
    </w:p>
    <w:bookmarkStart w:id="28" w:name="Xfeca1f661d19db17849e7521a3d46a318087e06"/>
    <w:p>
      <w:pPr>
        <w:pStyle w:val="Heading1"/>
      </w:pPr>
      <w:r>
        <w:t xml:space="preserve">Comprehensive Sales Report: Editor Platform Performance in United Arab Emirates Abu Dhabi (Q3 2023)</w:t>
      </w:r>
    </w:p>
    <w:bookmarkStart w:id="20" w:name="executive-summary"/>
    <w:p>
      <w:pPr>
        <w:pStyle w:val="Heading2"/>
      </w:pPr>
      <w:r>
        <w:t xml:space="preserve">Executive Summary</w:t>
      </w:r>
    </w:p>
    <w:p>
      <w:pPr>
        <w:pStyle w:val="FirstParagraph"/>
      </w:pPr>
      <w:r>
        <w:t xml:space="preserve">This Sales Report details the performance of our flagship editorial platform, "Editor," across the United Arab Emirates Abu Dhabi market during the third quarter of 2023. As a leading content management solution designed specifically for media organizations and corporate communications teams in the Gulf region, Editor has demonstrated significant growth trajectory. The report confirms a remarkable 37% year-over-year increase in subscription revenue, establishing Abu Dhabi as our fastest-growing regional hub within the United Arab Emirates market.</w:t>
      </w:r>
    </w:p>
    <w:bookmarkEnd w:id="20"/>
    <w:bookmarkStart w:id="21" w:name="X30cba8d0f140cc436831e6505d440dc597645c1"/>
    <w:p>
      <w:pPr>
        <w:pStyle w:val="Heading2"/>
      </w:pPr>
      <w:r>
        <w:t xml:space="preserve">Market Context: Abu Dhabi's Content Revolution</w:t>
      </w:r>
    </w:p>
    <w:p>
      <w:pPr>
        <w:pStyle w:val="FirstParagraph"/>
      </w:pPr>
      <w:r>
        <w:t xml:space="preserve">The United Arab Emirates Abu Dhabi has emerged as the epicenter of digital transformation in the GCC region. With Vision 2030 driving media innovation, government entities and private enterprises are aggressively adopting advanced editorial tools to enhance content production efficiency. This strategic landscape directly fuels demand for our Editor platform, which addresses critical gaps in multilingual content management, regulatory compliance, and real-time collaboration – all essential for Abu Dhabi's dynamic media ecosystem.</w:t>
      </w:r>
    </w:p>
    <w:p>
      <w:pPr>
        <w:pStyle w:val="BodyText"/>
      </w:pPr>
      <w:r>
        <w:t xml:space="preserve">As of Q3 2023, the Abu Dhabi media sector represents 41% of total UAE editorial software revenue. Our Editor platform now serves over 87 government departments and premium news organizations across the city, including the Abu Dhabi Media Council and Al Emarat Newspaper Group. This penetration rate underscores Editor's strategic alignment with Abu Dhabi's digital-first governance priorities.</w:t>
      </w:r>
    </w:p>
    <w:bookmarkEnd w:id="21"/>
    <w:bookmarkStart w:id="22" w:name="Xfd98b1ba7b7c9c5b598b35e39992bb67fd232fa"/>
    <w:p>
      <w:pPr>
        <w:pStyle w:val="Heading2"/>
      </w:pPr>
      <w:r>
        <w:t xml:space="preserve">Key Sales Performance Metrics (Abu Dhabi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Growth</w:t>
            </w:r>
          </w:p>
        </w:tc>
      </w:tr>
      <w:tr>
        <w:tc>
          <w:tcPr/>
          <w:p>
            <w:pPr>
              <w:pStyle w:val="Compact"/>
              <w:jc w:val="left"/>
            </w:pPr>
            <w:r>
              <w:t xml:space="preserve">Total Subscriptions (Abu Dhabi)</w:t>
            </w:r>
          </w:p>
        </w:tc>
        <w:tc>
          <w:tcPr/>
          <w:p>
            <w:pPr>
              <w:pStyle w:val="Compact"/>
              <w:jc w:val="left"/>
            </w:pPr>
            <w:r>
              <w:t xml:space="preserve">147</w:t>
            </w:r>
          </w:p>
        </w:tc>
        <w:tc>
          <w:tcPr/>
          <w:p>
            <w:pPr>
              <w:pStyle w:val="Compact"/>
              <w:jc w:val="left"/>
            </w:pPr>
            <w:r>
              <w:t xml:space="preserve">98</w:t>
            </w:r>
          </w:p>
        </w:tc>
        <w:tc>
          <w:tcPr/>
          <w:p>
            <w:pPr>
              <w:pStyle w:val="Compact"/>
              <w:jc w:val="left"/>
            </w:pPr>
            <w:r>
              <w:t xml:space="preserve">49.9%</w:t>
            </w:r>
          </w:p>
        </w:tc>
      </w:tr>
      <w:tr>
        <w:tc>
          <w:tcPr/>
          <w:p>
            <w:pPr>
              <w:pStyle w:val="Compact"/>
              <w:jc w:val="left"/>
            </w:pPr>
            <w:r>
              <w:t xml:space="preserve">Revenue Generated</w:t>
            </w:r>
          </w:p>
        </w:tc>
        <w:tc>
          <w:tcPr/>
          <w:p>
            <w:pPr>
              <w:pStyle w:val="Compact"/>
              <w:jc w:val="left"/>
            </w:pPr>
            <w:r>
              <w:t xml:space="preserve">AED 6,215,000</w:t>
            </w:r>
          </w:p>
        </w:tc>
        <w:tc>
          <w:tcPr/>
          <w:p>
            <w:pPr>
              <w:pStyle w:val="Compact"/>
              <w:jc w:val="left"/>
            </w:pPr>
            <w:r>
              <w:t xml:space="preserve">AED 4,172,000</w:t>
            </w:r>
          </w:p>
        </w:tc>
        <w:tc>
          <w:tcPr/>
          <w:p>
            <w:pPr>
              <w:pStyle w:val="Compact"/>
              <w:jc w:val="left"/>
            </w:pPr>
            <w:r>
              <w:t xml:space="preserve">49.1%</w:t>
            </w:r>
          </w:p>
        </w:tc>
      </w:tr>
      <w:tr>
        <w:tc>
          <w:tcPr/>
          <w:p>
            <w:pPr>
              <w:pStyle w:val="Compact"/>
              <w:jc w:val="left"/>
            </w:pPr>
            <w:r>
              <w:t xml:space="preserve">New Enterprise Clients</w:t>
            </w:r>
          </w:p>
        </w:tc>
        <w:tc>
          <w:tcPr/>
          <w:p>
            <w:pPr>
              <w:pStyle w:val="Compact"/>
              <w:jc w:val="left"/>
            </w:pPr>
            <w:r>
              <w:t xml:space="preserve">32</w:t>
            </w:r>
          </w:p>
        </w:tc>
        <w:tc>
          <w:tcPr/>
          <w:p>
            <w:pPr>
              <w:pStyle w:val="Compact"/>
              <w:jc w:val="left"/>
            </w:pPr>
            <w:r>
              <w:t xml:space="preserve">18</w:t>
            </w:r>
          </w:p>
        </w:tc>
        <w:tc>
          <w:tcPr/>
          <w:p>
            <w:pPr>
              <w:pStyle w:val="Compact"/>
              <w:jc w:val="left"/>
            </w:pPr>
            <w:r>
              <w:t xml:space="preserve">77.8%</w:t>
            </w:r>
          </w:p>
        </w:tc>
      </w:tr>
      <w:tr>
        <w:tc>
          <w:tcPr/>
          <w:p>
            <w:pPr>
              <w:pStyle w:val="Compact"/>
              <w:jc w:val="left"/>
            </w:pPr>
            <w:r>
              <w:t xml:space="preserve">Solution Adoption Rate (Post-Sales)</w:t>
            </w:r>
          </w:p>
        </w:tc>
        <w:tc>
          <w:tcPr/>
          <w:p>
            <w:pPr>
              <w:pStyle w:val="Compact"/>
              <w:jc w:val="left"/>
            </w:pPr>
            <w:r>
              <w:t xml:space="preserve">94%</w:t>
            </w:r>
          </w:p>
        </w:tc>
        <w:tc>
          <w:tcPr/>
          <w:p>
            <w:pPr>
              <w:pStyle w:val="Compact"/>
              <w:jc w:val="left"/>
            </w:pPr>
            <w:r>
              <w:t xml:space="preserve">82%</w:t>
            </w:r>
          </w:p>
        </w:tc>
        <w:tc>
          <w:tcPr/>
          <w:p>
            <w:pPr>
              <w:pStyle w:val="Compact"/>
            </w:pPr>
          </w:p>
        </w:tc>
      </w:tr>
    </w:tbl>
    <w:p>
      <w:pPr>
        <w:pStyle w:val="BodyText"/>
      </w:pPr>
      <w:r>
        <w:t xml:space="preserve">The sales momentum is particularly notable in Abu Dhabi's high-value segments: Government Communications Departments (accounting for 63% of new enterprise deals) and International Media Outlets establishing regional headquarters (29% of total revenue). The Editor platform's Arabic-English content workflow features have proven decisive, addressing a critical market need previously unmet by Western competitors.</w:t>
      </w:r>
    </w:p>
    <w:bookmarkEnd w:id="22"/>
    <w:bookmarkStart w:id="23" w:name="strategic-client-acquisition-highlights"/>
    <w:p>
      <w:pPr>
        <w:pStyle w:val="Heading2"/>
      </w:pPr>
      <w:r>
        <w:t xml:space="preserve">Strategic Client Acquisition Highlights</w:t>
      </w:r>
    </w:p>
    <w:p>
      <w:pPr>
        <w:pStyle w:val="FirstParagraph"/>
      </w:pPr>
      <w:r>
        <w:t xml:space="preserve">Abu Dhabi's premier institutions have become flagship customers for our Editor solution. Notable wins include:</w:t>
      </w:r>
    </w:p>
    <w:p>
      <w:pPr>
        <w:numPr>
          <w:ilvl w:val="0"/>
          <w:numId w:val="1001"/>
        </w:numPr>
        <w:pStyle w:val="Compact"/>
      </w:pPr>
      <w:r>
        <w:rPr>
          <w:bCs/>
          <w:b/>
        </w:rPr>
        <w:t xml:space="preserve">Abu Dhabi Government Communications Office (GCO):</w:t>
      </w:r>
      <w:r>
        <w:t xml:space="preserve"> </w:t>
      </w:r>
      <w:r>
        <w:t xml:space="preserve">Implemented Editor across all 14 ministries with a 3-year AED 2.8M contract, streamlining multilingual press release distribution to 57 international media platforms.</w:t>
      </w:r>
    </w:p>
    <w:p>
      <w:pPr>
        <w:numPr>
          <w:ilvl w:val="0"/>
          <w:numId w:val="1001"/>
        </w:numPr>
        <w:pStyle w:val="Compact"/>
      </w:pPr>
      <w:r>
        <w:rPr>
          <w:bCs/>
          <w:b/>
        </w:rPr>
        <w:t xml:space="preserve">National Media Council Abu Dhabi:</w:t>
      </w:r>
      <w:r>
        <w:t xml:space="preserve"> </w:t>
      </w:r>
      <w:r>
        <w:t xml:space="preserve">Adopted Editor's AI-powered content compliance module for real-time adherence to UAE media regulations, reducing editorial review cycles by 68%.</w:t>
      </w:r>
    </w:p>
    <w:p>
      <w:pPr>
        <w:numPr>
          <w:ilvl w:val="0"/>
          <w:numId w:val="1001"/>
        </w:numPr>
        <w:pStyle w:val="Compact"/>
      </w:pPr>
      <w:r>
        <w:rPr>
          <w:bCs/>
          <w:b/>
        </w:rPr>
        <w:t xml:space="preserve">Al Arabiya News (Abu Dhabi HQ):</w:t>
      </w:r>
      <w:r>
        <w:t xml:space="preserve"> </w:t>
      </w:r>
      <w:r>
        <w:t xml:space="preserve">Integrated Editor with their broadcast workflow, enabling live social media content coordination across 12 Arabic-language digital channels.</w:t>
      </w:r>
    </w:p>
    <w:bookmarkEnd w:id="23"/>
    <w:bookmarkStart w:id="24" w:name="Xe3e4d9e840fd2ecdcf0332d12b95692c7655611"/>
    <w:p>
      <w:pPr>
        <w:pStyle w:val="Heading2"/>
      </w:pPr>
      <w:r>
        <w:t xml:space="preserve">Market-Specific Sales Strategies Driving Growth</w:t>
      </w:r>
    </w:p>
    <w:p>
      <w:pPr>
        <w:pStyle w:val="FirstParagraph"/>
      </w:pPr>
      <w:r>
        <w:t xml:space="preserve">Our sales approach in United Arab Emirates Abu Dhabi has been meticulously tailored to local business culture and regulatory landscape. The Abu Dhabi-based sales team (now expanded to 17 specialists) employs these proven strategies:</w:t>
      </w:r>
    </w:p>
    <w:p>
      <w:pPr>
        <w:numPr>
          <w:ilvl w:val="0"/>
          <w:numId w:val="1002"/>
        </w:numPr>
        <w:pStyle w:val="Compact"/>
      </w:pPr>
      <w:r>
        <w:rPr>
          <w:bCs/>
          <w:b/>
        </w:rPr>
        <w:t xml:space="preserve">Cultural Integration:</w:t>
      </w:r>
      <w:r>
        <w:t xml:space="preserve"> </w:t>
      </w:r>
      <w:r>
        <w:t xml:space="preserve">All sales materials presented in Arabic-English bilingual format, with demos conducted during preferred business hours (post-dawn prayer sessions)</w:t>
      </w:r>
    </w:p>
    <w:p>
      <w:pPr>
        <w:numPr>
          <w:ilvl w:val="0"/>
          <w:numId w:val="1002"/>
        </w:numPr>
        <w:pStyle w:val="Compact"/>
      </w:pPr>
      <w:r>
        <w:rPr>
          <w:bCs/>
          <w:b/>
        </w:rPr>
        <w:t xml:space="preserve">Government Partnership Program:</w:t>
      </w:r>
      <w:r>
        <w:t xml:space="preserve"> </w:t>
      </w:r>
      <w:r>
        <w:t xml:space="preserve">Direct engagement with Abu Dhabi Economic Vision 2030 task forces to align Editor's features with government digital initiatives</w:t>
      </w:r>
    </w:p>
    <w:p>
      <w:pPr>
        <w:numPr>
          <w:ilvl w:val="0"/>
          <w:numId w:val="1002"/>
        </w:numPr>
        <w:pStyle w:val="Compact"/>
      </w:pPr>
      <w:r>
        <w:rPr>
          <w:bCs/>
          <w:b/>
        </w:rPr>
        <w:t xml:space="preserve">Solution-Based Selling:</w:t>
      </w:r>
      <w:r>
        <w:t xml:space="preserve"> </w:t>
      </w:r>
      <w:r>
        <w:t xml:space="preserve">Moving beyond software demos to co-create workflows addressing specific Abu Dhabi media challenges (e.g., Ramadan content planning, Expo 2024 communications)</w:t>
      </w:r>
    </w:p>
    <w:bookmarkEnd w:id="24"/>
    <w:bookmarkStart w:id="25" w:name="challenges-and-adaptive-solutions"/>
    <w:p>
      <w:pPr>
        <w:pStyle w:val="Heading2"/>
      </w:pPr>
      <w:r>
        <w:t xml:space="preserve">Challenges and Adaptive Solutions</w:t>
      </w:r>
    </w:p>
    <w:p>
      <w:pPr>
        <w:pStyle w:val="FirstParagraph"/>
      </w:pPr>
      <w:r>
        <w:t xml:space="preserve">While growth is strong, the Abu Dhabi market presented unique hurdles requiring innovative sales adaptations. The primary challenge was overcoming legacy system inertia among government entities. Our sales team addressed this through:</w:t>
      </w:r>
    </w:p>
    <w:p>
      <w:pPr>
        <w:numPr>
          <w:ilvl w:val="0"/>
          <w:numId w:val="1003"/>
        </w:numPr>
        <w:pStyle w:val="Compact"/>
      </w:pPr>
      <w:r>
        <w:rPr>
          <w:bCs/>
          <w:b/>
        </w:rPr>
        <w:t xml:space="preserve">Compliance Assurance:</w:t>
      </w:r>
      <w:r>
        <w:t xml:space="preserve"> </w:t>
      </w:r>
      <w:r>
        <w:t xml:space="preserve">Developing a UAE-specific regulatory compliance certificate for Editor to meet Federal Media Council requirements</w:t>
      </w:r>
    </w:p>
    <w:p>
      <w:pPr>
        <w:numPr>
          <w:ilvl w:val="0"/>
          <w:numId w:val="1003"/>
        </w:numPr>
        <w:pStyle w:val="Compact"/>
      </w:pPr>
      <w:r>
        <w:rPr>
          <w:bCs/>
          <w:b/>
        </w:rPr>
        <w:t xml:space="preserve">Pilot Program Model:</w:t>
      </w:r>
      <w:r>
        <w:t xml:space="preserve"> </w:t>
      </w:r>
      <w:r>
        <w:t xml:space="preserve">Offering 90-day free trials with dedicated Abu Dhabi support engineers (72-hour response SLA)</w:t>
      </w:r>
    </w:p>
    <w:p>
      <w:pPr>
        <w:numPr>
          <w:ilvl w:val="0"/>
          <w:numId w:val="1003"/>
        </w:numPr>
        <w:pStyle w:val="Compact"/>
      </w:pPr>
      <w:r>
        <w:rPr>
          <w:bCs/>
          <w:b/>
        </w:rPr>
        <w:t xml:space="preserve">Cultural Onboarding:</w:t>
      </w:r>
      <w:r>
        <w:t xml:space="preserve"> </w:t>
      </w:r>
      <w:r>
        <w:t xml:space="preserve">Training clients' teams in Abu Dhabi's business etiquette during implementation phases</w:t>
      </w:r>
    </w:p>
    <w:p>
      <w:pPr>
        <w:pStyle w:val="FirstParagraph"/>
      </w:pPr>
      <w:r>
        <w:t xml:space="preserve">This client-centric approach resulted in a 35% reduction in sales cycle duration compared to regional averages.</w:t>
      </w:r>
    </w:p>
    <w:bookmarkEnd w:id="25"/>
    <w:bookmarkStart w:id="26" w:name="X9bde10068b9d4d829e6b9dd7e31f44592447ba7"/>
    <w:p>
      <w:pPr>
        <w:pStyle w:val="Heading2"/>
      </w:pPr>
      <w:r>
        <w:t xml:space="preserve">Future Growth Trajectory: Editor in Abu Dhabi (Q4 2023 - Q1 2024)</w:t>
      </w:r>
    </w:p>
    <w:p>
      <w:pPr>
        <w:pStyle w:val="FirstParagraph"/>
      </w:pPr>
      <w:r>
        <w:t xml:space="preserve">The United Arab Emirates Abu Dhabi market presents exceptional growth potential for the Editor platform. Strategic priorities for the upcoming quarter include:</w:t>
      </w:r>
    </w:p>
    <w:p>
      <w:pPr>
        <w:numPr>
          <w:ilvl w:val="0"/>
          <w:numId w:val="1004"/>
        </w:numPr>
        <w:pStyle w:val="Compact"/>
      </w:pPr>
      <w:r>
        <w:t xml:space="preserve">Expanding into Abu Dhabi's growing fintech sector with specialized editorial templates for financial content</w:t>
      </w:r>
    </w:p>
    <w:p>
      <w:pPr>
        <w:numPr>
          <w:ilvl w:val="0"/>
          <w:numId w:val="1004"/>
        </w:numPr>
        <w:pStyle w:val="Compact"/>
      </w:pPr>
      <w:r>
        <w:t xml:space="preserve">Partnering with Abu Dhabi Digital Authority to become official content management solution for all government digital properties</w:t>
      </w:r>
    </w:p>
    <w:p>
      <w:pPr>
        <w:numPr>
          <w:ilvl w:val="0"/>
          <w:numId w:val="1004"/>
        </w:numPr>
        <w:pStyle w:val="Compact"/>
      </w:pPr>
      <w:r>
        <w:t xml:space="preserve">Leveraging Expo 2024 as a sales catalyst – targeting 45 new enterprise clients among international exhibitors</w:t>
      </w:r>
    </w:p>
    <w:bookmarkEnd w:id="26"/>
    <w:bookmarkStart w:id="27" w:name="Xbcd9fe42c81b48541bc264148440527fce2d91e"/>
    <w:p>
      <w:pPr>
        <w:pStyle w:val="Heading2"/>
      </w:pPr>
      <w:r>
        <w:t xml:space="preserve">Conclusion: Editor's Position in Abu Dhabi's Digital Economy</w:t>
      </w:r>
    </w:p>
    <w:p>
      <w:pPr>
        <w:pStyle w:val="FirstParagraph"/>
      </w:pPr>
      <w:r>
        <w:t xml:space="preserve">This Sales Report conclusively demonstrates that Editor has become an indispensable asset for media operations across United Arab Emirates Abu Dhabi. The platform's success stems from our deep understanding of the city's unique operational landscape – where regulatory precision meets cultural nuance and technological ambition. With government entities now standardizing on Editor for critical communications, and private sector adoption accelerating at 3x industry average, we position ourselves for market leadership in the Gulf region.</w:t>
      </w:r>
    </w:p>
    <w:p>
      <w:pPr>
        <w:pStyle w:val="BodyText"/>
      </w:pPr>
      <w:r>
        <w:t xml:space="preserve">As Abu Dhabi continues its transformation into a global content hub, Editor stands ready to power the next generation of digital storytelling. The Sales Report confirms that our strategy – rooted in cultural intelligence and solution-centric engagement – has resonated powerfully with Abu Dhabi's business ecosystem. We project 55% year-over-year growth for the full fiscal year 2023, with Abu Dhabi contributing 68% of total regional revenue by Q4.</w:t>
      </w:r>
    </w:p>
    <w:p>
      <w:pPr>
        <w:pStyle w:val="BodyText"/>
      </w:pPr>
      <w:r>
        <w:t xml:space="preserve">For United Arab Emirates stakeholders seeking to elevate their editorial operations within Abu Dhabi's competitive landscape, Editor represents not merely a software solution but a strategic partnership in digital excellence. Our team remains committed to deepening this relationship through continuous product innovation tailored to the evolving needs of the Abu Dhabi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Abu Dhabi Market</dc:title>
  <dc:creator/>
  <dc:language>en</dc:language>
  <cp:keywords/>
  <dcterms:created xsi:type="dcterms:W3CDTF">2026-07-23T13:01:43Z</dcterms:created>
  <dcterms:modified xsi:type="dcterms:W3CDTF">2026-07-23T13:01:43Z</dcterms:modified>
</cp:coreProperties>
</file>

<file path=docProps/custom.xml><?xml version="1.0" encoding="utf-8"?>
<Properties xmlns="http://schemas.openxmlformats.org/officeDocument/2006/custom-properties" xmlns:vt="http://schemas.openxmlformats.org/officeDocument/2006/docPropsVTypes"/>
</file>