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r>
        <w:t xml:space="preserve"> </w:t>
      </w:r>
      <w:r>
        <w:t xml:space="preserve">Analysis</w:t>
      </w:r>
    </w:p>
    <w:bookmarkStart w:id="32" w:name="X1c73fa178c4270ef053958919f679fa8e530af7"/>
    <w:p>
      <w:pPr>
        <w:pStyle w:val="Heading1"/>
      </w:pPr>
      <w:r>
        <w:t xml:space="preserve">Sales Report: Editor Product Performance in United Arab Emirates Dubai Market (Q3 2023)</w:t>
      </w:r>
    </w:p>
    <w:bookmarkStart w:id="20" w:name="executive-summary"/>
    <w:p>
      <w:pPr>
        <w:pStyle w:val="Heading2"/>
      </w:pPr>
      <w:r>
        <w:t xml:space="preserve">Executive Summary</w:t>
      </w:r>
    </w:p>
    <w:p>
      <w:pPr>
        <w:pStyle w:val="FirstParagraph"/>
      </w:pPr>
      <w:r>
        <w:t xml:space="preserve">This comprehensive Sales Report analyzes the performance of our flagship editorial software solution, "Editor Pro," across the dynamic business landscape of Dubai, United Arab Emirates. The report confirms that Editor has established itself as a market leader in content management solutions within Dubai's rapidly expanding digital economy. During Q3 2023, Editor achieved an unprecedented 47% year-over-year sales growth in the United Arab Emirates Dubai region, capturing 38% market share among enterprise editorial platforms. This performance significantly outpaces regional competitors and aligns with Dubai's strategic vision for becoming a global hub for digital innovation. The report details key drivers of success, emerging opportunities, and strategic recommendations for sustained dominance in this critical market.</w:t>
      </w:r>
    </w:p>
    <w:bookmarkEnd w:id="20"/>
    <w:bookmarkStart w:id="21" w:name="X6a318e5f748a71a8b0d08273f73c12300bc6b33"/>
    <w:p>
      <w:pPr>
        <w:pStyle w:val="Heading2"/>
      </w:pPr>
      <w:r>
        <w:t xml:space="preserve">Market Context: Dubai's Digital Transformation Imperative</w:t>
      </w:r>
    </w:p>
    <w:p>
      <w:pPr>
        <w:pStyle w:val="FirstParagraph"/>
      </w:pPr>
      <w:r>
        <w:t xml:space="preserve">The United Arab Emirates Dubai market presents unparalleled opportunities for premium editorial solutions due to its aggressive digital transformation roadmap. As the economic engine of the UAE, Dubai has prioritized content innovation through initiatives like Dubai Digital Economy Strategy 2031 and Smart City frameworks. These policies mandate robust editorial capabilities across government entities, media conglomerates, and multinational corporations operating from Dubai International Financial Centre (DIFC) and Dubai Media City. The demand for "Editor" stems directly from this ecosystem – businesses require seamless content creation, compliance management, and multilingual publishing tools to operate within Dubai's stringent regulatory environment while targeting global audiences.</w:t>
      </w:r>
    </w:p>
    <w:bookmarkEnd w:id="21"/>
    <w:bookmarkStart w:id="22" w:name="q3-2023-sales-performance-key-metrics"/>
    <w:p>
      <w:pPr>
        <w:pStyle w:val="Heading2"/>
      </w:pPr>
      <w:r>
        <w:t xml:space="preserve">Q3 2023 Sales Performance: Key Metrics</w:t>
      </w:r>
    </w:p>
    <w:p>
      <w:pPr>
        <w:pStyle w:val="FirstParagraph"/>
      </w:pPr>
      <w:r>
        <w:t xml:space="preserve">Metrics</w:t>
      </w:r>
    </w:p>
    <w:p>
      <w:pPr>
        <w:pStyle w:val="BodyText"/>
      </w:pPr>
      <w:r>
        <w:t xml:space="preserve">Q3 2023</w:t>
      </w:r>
    </w:p>
    <w:p>
      <w:pPr>
        <w:pStyle w:val="BodyText"/>
      </w:pPr>
      <w:r>
        <w:t xml:space="preserve">Q3 2022 (YoY)</w:t>
      </w:r>
    </w:p>
    <w:p>
      <w:pPr>
        <w:pStyle w:val="BodyText"/>
      </w:pPr>
      <w:r>
        <w:t xml:space="preserve">Growth Rate</w:t>
      </w:r>
    </w:p>
    <w:p>
      <w:pPr>
        <w:pStyle w:val="BodyText"/>
      </w:pPr>
      <w:r>
        <w:t xml:space="preserve">Sales Revenue (AED)</w:t>
      </w:r>
    </w:p>
    <w:p>
      <w:pPr>
        <w:pStyle w:val="BodyText"/>
      </w:pPr>
      <w:r>
        <w:t xml:space="preserve">18,750,000</w:t>
      </w:r>
    </w:p>
    <w:p>
      <w:pPr>
        <w:pStyle w:val="BodyText"/>
      </w:pPr>
      <w:r>
        <w:t xml:space="preserve">12,756,243</w:t>
      </w:r>
    </w:p>
    <w:p>
      <w:pPr>
        <w:pStyle w:val="BodyText"/>
      </w:pPr>
      <w:r>
        <w:t xml:space="preserve">+47.0%</w:t>
      </w:r>
    </w:p>
    <w:p>
      <w:pPr>
        <w:pStyle w:val="BodyText"/>
      </w:pPr>
      <w:r>
        <w:t xml:space="preserve">New Enterprise Clients</w:t>
      </w:r>
    </w:p>
    <w:p>
      <w:pPr>
        <w:pStyle w:val="BodyText"/>
      </w:pPr>
      <w:r>
        <w:t xml:space="preserve">83</w:t>
      </w:r>
    </w:p>
    <w:p>
      <w:pPr>
        <w:pStyle w:val="BodyText"/>
      </w:pPr>
      <w:r>
        <w:t xml:space="preserve">&lt;</w:t>
      </w:r>
    </w:p>
    <w:p>
      <w:pPr>
        <w:pStyle w:val="BodyText"/>
      </w:pPr>
      <w:r>
        <w:t xml:space="preserve">51</w:t>
      </w:r>
    </w:p>
    <w:p>
      <w:pPr>
        <w:pStyle w:val="BodyText"/>
      </w:pPr>
      <w:r>
        <w:t xml:space="preserve">+62.7%</w:t>
      </w:r>
    </w:p>
    <w:p>
      <w:pPr>
        <w:pStyle w:val="BodyText"/>
      </w:pPr>
      <w:r>
        <w:t xml:space="preserve">Average Contract Value (AED)</w:t>
      </w:r>
    </w:p>
    <w:p>
      <w:pPr>
        <w:pStyle w:val="BodyText"/>
      </w:pPr>
      <w:r>
        <w:t xml:space="preserve">&lt; td&gt;226,000</w:t>
      </w:r>
    </w:p>
    <w:p>
      <w:pPr>
        <w:pStyle w:val="BodyText"/>
      </w:pPr>
      <w:r>
        <w:t xml:space="preserve">Cross-Sell Rate (Editor + Related Services)</w:t>
      </w:r>
    </w:p>
    <w:p>
      <w:pPr>
        <w:pStyle w:val="BodyText"/>
      </w:pPr>
      <w:r>
        <w:t xml:space="preserve">68%</w:t>
      </w:r>
    </w:p>
    <w:p>
      <w:pPr>
        <w:pStyle w:val="BodyText"/>
      </w:pPr>
      <w:r>
        <w:t xml:space="preserve">54%</w:t>
      </w:r>
    </w:p>
    <w:p>
      <w:pPr>
        <w:pStyle w:val="BodyText"/>
      </w:pPr>
      <w:r>
        <w:t xml:space="preserve">+14 pts</w:t>
      </w:r>
    </w:p>
    <w:bookmarkEnd w:id="22"/>
    <w:bookmarkStart w:id="27" w:name="Xffca0d5af131aee787acfcf766ffa770e59c509"/>
    <w:p>
      <w:pPr>
        <w:pStyle w:val="Heading2"/>
      </w:pPr>
      <w:r>
        <w:t xml:space="preserve">Regional Sales Breakdown: Dubai's Strategic Segments</w:t>
      </w:r>
    </w:p>
    <w:p>
      <w:pPr>
        <w:pStyle w:val="FirstParagraph"/>
      </w:pPr>
      <w:r>
        <w:t xml:space="preserve">Dubai's market segments reveal where "Editor" delivers exceptional value:</w:t>
      </w:r>
    </w:p>
    <w:bookmarkStart w:id="23" w:name="government-public-sector-35-of-revenue"/>
    <w:p>
      <w:pPr>
        <w:pStyle w:val="Heading3"/>
      </w:pPr>
      <w:r>
        <w:t xml:space="preserve">Government &amp; Public Sector (35% of Revenue)</w:t>
      </w:r>
    </w:p>
    <w:p>
      <w:pPr>
        <w:pStyle w:val="FirstParagraph"/>
      </w:pPr>
      <w:r>
        <w:t xml:space="preserve">Collaborations with Dubai Government Entities (DGE) under the Dubai Smart City initiative drove 12 major contracts. Editor's compliance module for UAE Federal Law No. 4/2020 and Arabic/English multilingual capabilities were decisive factors. The Dubai Municipality implementation ($1.8M contract) exemplifies success, reducing content approval timelines by 65%.</w:t>
      </w:r>
    </w:p>
    <w:bookmarkEnd w:id="23"/>
    <w:bookmarkStart w:id="24" w:name="media-publishing-30-of-revenue"/>
    <w:p>
      <w:pPr>
        <w:pStyle w:val="Heading3"/>
      </w:pPr>
      <w:r>
        <w:t xml:space="preserve">Media &amp; Publishing (30% of Revenue)</w:t>
      </w:r>
    </w:p>
    <w:p>
      <w:pPr>
        <w:pStyle w:val="FirstParagraph"/>
      </w:pPr>
      <w:r>
        <w:t xml:space="preserve">Dubai Media City-based publishers (including major Arabic news outlets) adopted Editor for cross-platform content distribution. The platform's AI-powered editing suite reduced production costs by 40% while maintaining compliance with Dubai Press Club regulations. Key wins include Al Arabiya Media Group ($1.2M annual contract) and Emirates News Agency (WAM).</w:t>
      </w:r>
    </w:p>
    <w:bookmarkEnd w:id="24"/>
    <w:bookmarkStart w:id="25" w:name="corporate-enterprise-25-of-revenue"/>
    <w:p>
      <w:pPr>
        <w:pStyle w:val="Heading3"/>
      </w:pPr>
      <w:r>
        <w:t xml:space="preserve">Corporate &amp; Enterprise (25% of Revenue)</w:t>
      </w:r>
    </w:p>
    <w:p>
      <w:pPr>
        <w:pStyle w:val="FirstParagraph"/>
      </w:pPr>
      <w:r>
        <w:t xml:space="preserve">Fortune 500 companies headquartered in DIFC implemented Editor for internal communications and investor relations. The integration with Dubai's blockchain-based e-government services provided a unique competitive edge. Notable contracts include Emaar Properties ($950K) and Dubai Holding ($825K).</w:t>
      </w:r>
    </w:p>
    <w:bookmarkEnd w:id="25"/>
    <w:bookmarkStart w:id="26" w:name="education-healthcare-10-of-revenue"/>
    <w:p>
      <w:pPr>
        <w:pStyle w:val="Heading3"/>
      </w:pPr>
      <w:r>
        <w:t xml:space="preserve">Education &amp; Healthcare (10% of Revenue)</w:t>
      </w:r>
    </w:p>
    <w:p>
      <w:pPr>
        <w:pStyle w:val="FirstParagraph"/>
      </w:pPr>
      <w:r>
        <w:t xml:space="preserve">Dubai Knowledge Village institutions utilized Editor for academic publishing compliance, while hospitals adopted it for patient communication portals meeting UAE Ministry of Health standards.</w:t>
      </w:r>
    </w:p>
    <w:bookmarkEnd w:id="26"/>
    <w:bookmarkEnd w:id="27"/>
    <w:bookmarkStart w:id="28" w:name="X7632ffaafdab799c52748593bf8e8f69e5adc52"/>
    <w:p>
      <w:pPr>
        <w:pStyle w:val="Heading2"/>
      </w:pPr>
      <w:r>
        <w:t xml:space="preserve">Customer Success Drivers: Why Dubai Chooses Editor</w:t>
      </w:r>
    </w:p>
    <w:p>
      <w:pPr>
        <w:numPr>
          <w:ilvl w:val="0"/>
          <w:numId w:val="1001"/>
        </w:numPr>
        <w:pStyle w:val="Compact"/>
      </w:pPr>
      <w:r>
        <w:rPr>
          <w:bCs/>
          <w:b/>
        </w:rPr>
        <w:t xml:space="preserve">Regulatory Precision</w:t>
      </w:r>
      <w:r>
        <w:t xml:space="preserve">: Editor's built-in compliance engine automatically adjusts content for UAE legal requirements (e.g., Gulf Cooperation Council regulations), eliminating manual review costs for clients.</w:t>
      </w:r>
    </w:p>
    <w:p>
      <w:pPr>
        <w:numPr>
          <w:ilvl w:val="0"/>
          <w:numId w:val="1001"/>
        </w:numPr>
        <w:pStyle w:val="Compact"/>
      </w:pPr>
      <w:r>
        <w:rPr>
          <w:bCs/>
          <w:b/>
        </w:rPr>
        <w:t xml:space="preserve">Arabic Language Mastery</w:t>
      </w:r>
      <w:r>
        <w:t xml:space="preserve">: Unlike generic platforms, Editor supports dialect-specific Arabic editing – critical for Dubai's market where 80% of content targets Arabic-speaking audiences.</w:t>
      </w:r>
    </w:p>
    <w:p>
      <w:pPr>
        <w:numPr>
          <w:ilvl w:val="0"/>
          <w:numId w:val="1001"/>
        </w:numPr>
        <w:pStyle w:val="Compact"/>
      </w:pPr>
      <w:r>
        <w:rPr>
          <w:bCs/>
          <w:b/>
        </w:rPr>
        <w:t xml:space="preserve">Dubai Infrastructure Integration</w:t>
      </w:r>
      <w:r>
        <w:t xml:space="preserve">: Seamless compatibility with Dubai's government services (Dubai Now API), Smart Dubai, and local payment gateways like SADAD.</w:t>
      </w:r>
    </w:p>
    <w:p>
      <w:pPr>
        <w:numPr>
          <w:ilvl w:val="0"/>
          <w:numId w:val="1001"/>
        </w:numPr>
        <w:pStyle w:val="Compact"/>
      </w:pPr>
      <w:r>
        <w:rPr>
          <w:bCs/>
          <w:b/>
        </w:rPr>
        <w:t xml:space="preserve">Local Support Ecosystem</w:t>
      </w:r>
      <w:r>
        <w:t xml:space="preserve">: Dedicated UAE-based support team with 24/7 Arabic/English coverage – a key differentiator against global competitors.</w:t>
      </w:r>
    </w:p>
    <w:bookmarkEnd w:id="28"/>
    <w:bookmarkStart w:id="29" w:name="challenges-and-strategic-opportunities"/>
    <w:p>
      <w:pPr>
        <w:pStyle w:val="Heading2"/>
      </w:pPr>
      <w:r>
        <w:t xml:space="preserve">Challenges and Strategic Opportunities</w:t>
      </w:r>
    </w:p>
    <w:p>
      <w:pPr>
        <w:pStyle w:val="FirstParagraph"/>
      </w:pPr>
      <w:r>
        <w:t xml:space="preserve">Despite strong growth, two challenges require immediate attention:</w:t>
      </w:r>
    </w:p>
    <w:p>
      <w:pPr>
        <w:numPr>
          <w:ilvl w:val="0"/>
          <w:numId w:val="1002"/>
        </w:numPr>
        <w:pStyle w:val="Compact"/>
      </w:pPr>
      <w:r>
        <w:rPr>
          <w:bCs/>
          <w:b/>
        </w:rPr>
        <w:t xml:space="preserve">Cultural Nuance Gap</w:t>
      </w:r>
      <w:r>
        <w:t xml:space="preserve">: Some European clients initially resist Editor's UAE-focused workflow adaptations. Solution: Develop "Global Adaptation" module allowing regional customization while maintaining core Dubai compliance.</w:t>
      </w:r>
    </w:p>
    <w:p>
      <w:pPr>
        <w:numPr>
          <w:ilvl w:val="0"/>
          <w:numId w:val="1002"/>
        </w:numPr>
        <w:pStyle w:val="Compact"/>
      </w:pPr>
      <w:r>
        <w:rPr>
          <w:bCs/>
          <w:b/>
        </w:rPr>
        <w:t xml:space="preserve">Competition from Local Players</w:t>
      </w:r>
      <w:r>
        <w:t xml:space="preserve">: Emerging UAE-based startups offer cheaper alternatives. Countermeasure: Accelerate partnership with Dubai Media City to position Editor as the mandated platform for government-compliant content.</w:t>
      </w:r>
    </w:p>
    <w:p>
      <w:pPr>
        <w:pStyle w:val="FirstParagraph"/>
      </w:pPr>
      <w:r>
        <w:t xml:space="preserve">Opportunity hotspot: Dubai's new AI strategy requires 30% of all published content to be AI-assisted by 2025. Editor's upcoming AI Co-Pilot feature (launching Q1 2024) is primed for this market shift.</w:t>
      </w:r>
    </w:p>
    <w:bookmarkEnd w:id="29"/>
    <w:bookmarkStart w:id="30" w:name="future-outlook-strategic-recommendations"/>
    <w:p>
      <w:pPr>
        <w:pStyle w:val="Heading2"/>
      </w:pPr>
      <w:r>
        <w:t xml:space="preserve">Future Outlook &amp; Strategic Recommendations</w:t>
      </w:r>
    </w:p>
    <w:p>
      <w:pPr>
        <w:pStyle w:val="FirstParagraph"/>
      </w:pPr>
      <w:r>
        <w:t xml:space="preserve">The United Arab Emirates Dubai market represents the most promising segment of our global expansion strategy. By Q4 2023, we project Editor will capture 50%+ market share in UAE enterprise editorial solutions. Critical next steps:</w:t>
      </w:r>
    </w:p>
    <w:p>
      <w:pPr>
        <w:numPr>
          <w:ilvl w:val="0"/>
          <w:numId w:val="1003"/>
        </w:numPr>
        <w:pStyle w:val="Compact"/>
      </w:pPr>
      <w:r>
        <w:rPr>
          <w:bCs/>
          <w:b/>
        </w:rPr>
        <w:t xml:space="preserve">Expand Dubai Presence</w:t>
      </w:r>
      <w:r>
        <w:t xml:space="preserve">: Establish a dedicated Dubai office (Q1 2024) to accelerate client onboarding and compliance innovation.</w:t>
      </w:r>
    </w:p>
    <w:p>
      <w:pPr>
        <w:numPr>
          <w:ilvl w:val="0"/>
          <w:numId w:val="1003"/>
        </w:numPr>
        <w:pStyle w:val="Compact"/>
      </w:pPr>
      <w:r>
        <w:rPr>
          <w:bCs/>
          <w:b/>
        </w:rPr>
        <w:t xml:space="preserve">Leverage Government Partnerships</w:t>
      </w:r>
      <w:r>
        <w:t xml:space="preserve">: Co-develop solutions with Dubai Digital Authority for the upcoming "Dubai Content Framework" initiative.</w:t>
      </w:r>
    </w:p>
    <w:p>
      <w:pPr>
        <w:numPr>
          <w:ilvl w:val="0"/>
          <w:numId w:val="1003"/>
        </w:numPr>
        <w:pStyle w:val="Compact"/>
      </w:pPr>
      <w:r>
        <w:rPr>
          <w:bCs/>
          <w:b/>
        </w:rPr>
        <w:t xml:space="preserve">Launch Arabic AI Suite</w:t>
      </w:r>
      <w:r>
        <w:t xml:space="preserve">: Integrate UAE-specific dialect training into AI features to outpace competitors in local content creation.</w:t>
      </w:r>
    </w:p>
    <w:p>
      <w:pPr>
        <w:pStyle w:val="FirstParagraph"/>
      </w:pPr>
      <w:r>
        <w:t xml:space="preserve">As Dubai accelerates toward its 2030 vision of becoming a "Global Hub for Content Creation," Editor is uniquely positioned as the essential technology partner. Our Sales Report confirms that this isn't just another market – it's the strategic nerve center where digital content meets UAE excellence. With our current trajectory, Editor will not only dominate Dubai but set the global standard for editorial platforms in regulated emerging markets.</w:t>
      </w:r>
    </w:p>
    <w:bookmarkEnd w:id="30"/>
    <w:bookmarkStart w:id="31" w:name="conclusion"/>
    <w:p>
      <w:pPr>
        <w:pStyle w:val="Heading2"/>
      </w:pPr>
      <w:r>
        <w:t xml:space="preserve">Conclusion</w:t>
      </w:r>
    </w:p>
    <w:p>
      <w:pPr>
        <w:pStyle w:val="FirstParagraph"/>
      </w:pPr>
      <w:r>
        <w:t xml:space="preserve">The Q3 2023 Sales Report unequivocally demonstrates that "Editor" has become indispensable to Dubai's digital ecosystem. This isn't merely about sales growth; it's about enabling the United Arab Emirates Dubai vision through technological excellence. Every dollar invested in Editor delivers exponential returns for our clients – reducing compliance risks, accelerating time-to-market, and ensuring content resonates with UAE audiences. As we enter 2024, Editor's future in Dubai is not just bright – it is foundational to the region's digital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United Arab Emirates Dubai Market Analysis</dc:title>
  <dc:creator/>
  <dc:language>en</dc:language>
  <cp:keywords/>
  <dcterms:created xsi:type="dcterms:W3CDTF">2026-07-21T03:24:06Z</dcterms:created>
  <dcterms:modified xsi:type="dcterms:W3CDTF">2026-07-21T03:24:06Z</dcterms:modified>
</cp:coreProperties>
</file>

<file path=docProps/custom.xml><?xml version="1.0" encoding="utf-8"?>
<Properties xmlns="http://schemas.openxmlformats.org/officeDocument/2006/custom-properties" xmlns:vt="http://schemas.openxmlformats.org/officeDocument/2006/docPropsVTypes"/>
</file>