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Editor</w:t>
      </w:r>
      <w:r>
        <w:t xml:space="preserve"> </w:t>
      </w:r>
      <w:r>
        <w:t xml:space="preserve">Product</w:t>
      </w:r>
      <w:r>
        <w:t xml:space="preserve"> </w:t>
      </w:r>
      <w:r>
        <w:t xml:space="preserve">Performance</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dfb0bc5b83da7a1f296abdde05d11f0a3dd9b79"/>
    <w:p>
      <w:pPr>
        <w:pStyle w:val="Heading1"/>
      </w:pPr>
      <w:r>
        <w:t xml:space="preserve">Q3 2024 Sales Report: Comprehensive Analysis of Editor Product Performance in United Kingdom Birmingham</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&amp; Regional Management Teams</w:t>
      </w:r>
      <w:r>
        <w:br/>
      </w:r>
      <w:r>
        <w:rPr>
          <w:bCs/>
          <w:b/>
        </w:rPr>
        <w:t xml:space="preserve">Report Period:</w:t>
      </w:r>
      <w:r>
        <w:t xml:space="preserve"> </w:t>
      </w:r>
      <w:r>
        <w:t xml:space="preserve">July 1, 2024 – September 30, 2024</w:t>
      </w:r>
    </w:p>
    <w:bookmarkStart w:id="20" w:name="executive-summary"/>
    <w:p>
      <w:pPr>
        <w:pStyle w:val="Heading2"/>
      </w:pPr>
      <w:r>
        <w:t xml:space="preserve">Executive Summary</w:t>
      </w:r>
    </w:p>
    <w:p>
      <w:pPr>
        <w:pStyle w:val="FirstParagraph"/>
      </w:pPr>
      <w:r>
        <w:t xml:space="preserve">This Sales Report presents a detailed analysis of the performance of our flagship product, "The Editor," across the United Kingdom Birmingham market during Q3 2024. The report confirms significant growth in both enterprise and SMB adoption, with Birmingham emerging as a critical growth hub within our UK operations. Despite regional economic headwinds, The Editor achieved a 37% YoY increase in sales revenue within United Kingdom Birmingham, outpacing the national average by 15 percentage points. This performance underscores Birmingham's evolving position as a technology innovation epicenter and validates our localized market strategy.</w:t>
      </w:r>
    </w:p>
    <w:bookmarkEnd w:id="20"/>
    <w:bookmarkStart w:id="21" w:name="Xb196fcfbb5b7b518d19267b259fd519aba32511"/>
    <w:p>
      <w:pPr>
        <w:pStyle w:val="Heading2"/>
      </w:pPr>
      <w:r>
        <w:t xml:space="preserve">Market Context: United Kingdom Birmingham's Digital Transformation Surge</w:t>
      </w:r>
    </w:p>
    <w:p>
      <w:pPr>
        <w:pStyle w:val="FirstParagraph"/>
      </w:pPr>
      <w:r>
        <w:t xml:space="preserve">Birmingham has become the undisputed engine of digital growth in the Midlands region, with its 65% year-on-year increase in tech sector investment directly benefiting our Editor product. As part of the broader United Kingdom Birmingham economic development plan, local authorities have prioritized SME digital adoption through initiatives like "Birmingham Digital Leap." This strategic environment created perfect conditions for The Editor's value proposition – a cloud-based collaborative editing suite designed specifically for high-volume content teams. The city's concentration of media agencies (23% of UK national total), publishing houses, and legal firms provided our most receptive customer base.</w:t>
      </w:r>
    </w:p>
    <w:bookmarkEnd w:id="21"/>
    <w:bookmarkStart w:id="22" w:name="q3-2024-sales-performance-key-metrics"/>
    <w:p>
      <w:pPr>
        <w:pStyle w:val="Heading2"/>
      </w:pPr>
      <w:r>
        <w:t xml:space="preserve">Q3 2024 Sales Performance: Key Metrics</w:t>
      </w:r>
    </w:p>
    <w:p>
      <w:pPr>
        <w:pStyle w:val="FirstParagraph"/>
      </w:pPr>
      <w:r>
        <w:t xml:space="preserve">KPI</w:t>
      </w:r>
    </w:p>
    <w:p>
      <w:pPr>
        <w:pStyle w:val="BodyText"/>
      </w:pPr>
      <w:r>
        <w:t xml:space="preserve">Q3 2024</w:t>
      </w:r>
    </w:p>
    <w:p>
      <w:pPr>
        <w:pStyle w:val="BodyText"/>
      </w:pPr>
      <w:r>
        <w:t xml:space="preserve">Q3 2023</w:t>
      </w:r>
    </w:p>
    <w:p>
      <w:pPr>
        <w:pStyle w:val="BodyText"/>
      </w:pPr>
      <w:r>
        <w:t xml:space="preserve">YoY Change</w:t>
      </w:r>
    </w:p>
    <w:p>
      <w:pPr>
        <w:pStyle w:val="BodyText"/>
      </w:pPr>
      <w:r>
        <w:t xml:space="preserve">Sales Revenue (GBP)</w:t>
      </w:r>
    </w:p>
    <w:p>
      <w:pPr>
        <w:pStyle w:val="BodyText"/>
      </w:pPr>
      <w:r>
        <w:t xml:space="preserve">£1,875,000</w:t>
      </w:r>
    </w:p>
    <w:p>
      <w:pPr>
        <w:pStyle w:val="BodyText"/>
      </w:pPr>
      <w:r>
        <w:t xml:space="preserve">£1,369,000</w:t>
      </w:r>
    </w:p>
    <w:p>
      <w:pPr>
        <w:pStyle w:val="BodyText"/>
      </w:pPr>
      <w:r>
        <w:t xml:space="preserve">+37%</w:t>
      </w:r>
    </w:p>
    <w:p>
      <w:pPr>
        <w:pStyle w:val="BodyText"/>
      </w:pPr>
      <w:r>
        <w:t xml:space="preserve">New Enterprise Clients</w:t>
      </w:r>
    </w:p>
    <w:p>
      <w:pPr>
        <w:pStyle w:val="BodyText"/>
      </w:pPr>
      <w:r>
        <w:t xml:space="preserve">42</w:t>
      </w:r>
    </w:p>
    <w:p>
      <w:pPr>
        <w:pStyle w:val="BodyText"/>
      </w:pPr>
      <w:r>
        <w:t xml:space="preserve">29</w:t>
      </w:r>
    </w:p>
    <w:p>
      <w:pPr>
        <w:pStyle w:val="BodyText"/>
      </w:pPr>
      <w:r>
        <w:t xml:space="preserve">+44.8%</w:t>
      </w:r>
    </w:p>
    <w:p>
      <w:pPr>
        <w:pStyle w:val="BodyText"/>
      </w:pPr>
      <w:r>
        <w:t xml:space="preserve">SMB Adoption Rate</w:t>
      </w:r>
    </w:p>
    <w:p>
      <w:pPr>
        <w:pStyle w:val="BodyText"/>
      </w:pPr>
      <w:r>
        <w:t xml:space="preserve">68%</w:t>
      </w:r>
      <w:r>
        <w:br/>
      </w:r>
      <w:r>
        <w:t xml:space="preserve">(vs 55% Q3 2023)</w:t>
      </w:r>
    </w:p>
    <w:p>
      <w:pPr>
        <w:pStyle w:val="BodyText"/>
      </w:pPr>
      <w:r>
        <w:t xml:space="preserve">Customer Retention Rate</w:t>
      </w:r>
    </w:p>
    <w:p>
      <w:pPr>
        <w:pStyle w:val="BodyText"/>
      </w:pPr>
      <w:r>
        <w:t xml:space="preserve">91%</w:t>
      </w:r>
      <w:r>
        <w:br/>
      </w:r>
      <w:r>
        <w:t xml:space="preserve">(Industry avg: 78%)</w:t>
      </w:r>
    </w:p>
    <w:p>
      <w:pPr>
        <w:pStyle w:val="BodyText"/>
      </w:pPr>
      <w:r>
        <w:t xml:space="preserve">The most notable achievement was the 220% surge in enterprise contracts with Birmingham-based media conglomerates, including major players like Reach plc and Express &amp; Star Media Group. The Editor's AI-powered workflow automation features directly addressed pain points identified in our Q2 customer surveys – specifically reducing content approval cycles by 41% for these clients. This technical alignment cemented Birmingham as a flagship market where our solution delivers measurable ROI.</w:t>
      </w:r>
    </w:p>
    <w:bookmarkEnd w:id="22"/>
    <w:bookmarkStart w:id="23" w:name="geographic-distribution-analysis"/>
    <w:p>
      <w:pPr>
        <w:pStyle w:val="Heading2"/>
      </w:pPr>
      <w:r>
        <w:t xml:space="preserve">Geographic Distribution Analysis</w:t>
      </w:r>
    </w:p>
    <w:p>
      <w:pPr>
        <w:pStyle w:val="FirstParagraph"/>
      </w:pPr>
      <w:r>
        <w:t xml:space="preserve">Birmingham's sales growth was not uniform across the city. We observed distinct regional patterns:</w:t>
      </w:r>
    </w:p>
    <w:p>
      <w:pPr>
        <w:numPr>
          <w:ilvl w:val="0"/>
          <w:numId w:val="1001"/>
        </w:numPr>
        <w:pStyle w:val="Compact"/>
      </w:pPr>
      <w:r>
        <w:rPr>
          <w:bCs/>
          <w:b/>
        </w:rPr>
        <w:t xml:space="preserve">Central Birmingham (City Centre):</w:t>
      </w:r>
      <w:r>
        <w:t xml:space="preserve"> </w:t>
      </w:r>
      <w:r>
        <w:t xml:space="preserve">47% of total sales, driven by financial services firms adopting The Editor for regulatory documentation</w:t>
      </w:r>
    </w:p>
    <w:p>
      <w:pPr>
        <w:numPr>
          <w:ilvl w:val="0"/>
          <w:numId w:val="1001"/>
        </w:numPr>
        <w:pStyle w:val="Compact"/>
      </w:pPr>
      <w:r>
        <w:rPr>
          <w:bCs/>
          <w:b/>
        </w:rPr>
        <w:t xml:space="preserve">Edgbaston &amp; Selly Oak:</w:t>
      </w:r>
      <w:r>
        <w:t xml:space="preserve"> </w:t>
      </w:r>
      <w:r>
        <w:t xml:space="preserve">32% of sales, dominated by university partnerships (Birmingham University's School of Media) and tech startups</w:t>
      </w:r>
    </w:p>
    <w:p>
      <w:pPr>
        <w:numPr>
          <w:ilvl w:val="0"/>
          <w:numId w:val="1001"/>
        </w:numPr>
        <w:pStyle w:val="Compact"/>
      </w:pPr>
      <w:r>
        <w:rPr>
          <w:bCs/>
          <w:b/>
        </w:rPr>
        <w:t xml:space="preserve">South Birmingham (Sutton Coldfield, Erdington):</w:t>
      </w:r>
      <w:r>
        <w:t xml:space="preserve"> </w:t>
      </w:r>
      <w:r>
        <w:t xml:space="preserve">21% of sales, primarily SME publishers and legal practices</w:t>
      </w:r>
    </w:p>
    <w:p>
      <w:pPr>
        <w:pStyle w:val="FirstParagraph"/>
      </w:pPr>
      <w:r>
        <w:t xml:space="preserve">This distribution validated our market segmentation strategy. The Editor's pricing tiers were strategically calibrated to match regional business density – premium enterprise packages in the city centre versus SMB-friendly subscriptions in suburban zones.</w:t>
      </w:r>
    </w:p>
    <w:bookmarkEnd w:id="23"/>
    <w:bookmarkStart w:id="24" w:name="customer-satisfaction-market-feedback"/>
    <w:p>
      <w:pPr>
        <w:pStyle w:val="Heading2"/>
      </w:pPr>
      <w:r>
        <w:t xml:space="preserve">Customer Satisfaction &amp; Market Feedback</w:t>
      </w:r>
    </w:p>
    <w:p>
      <w:pPr>
        <w:pStyle w:val="FirstParagraph"/>
      </w:pPr>
      <w:r>
        <w:t xml:space="preserve">Our Q3 Customer Satisfaction Survey (N=187) revealed unprecedented enthusiasm for The Editor among United Kingdom Birmingham users:</w:t>
      </w:r>
    </w:p>
    <w:p>
      <w:pPr>
        <w:numPr>
          <w:ilvl w:val="0"/>
          <w:numId w:val="1002"/>
        </w:numPr>
        <w:pStyle w:val="Compact"/>
      </w:pPr>
      <w:r>
        <w:t xml:space="preserve">94% of customers stated "The Editor significantly improved our team's productivity" (vs 76% in UK average)</w:t>
      </w:r>
    </w:p>
    <w:p>
      <w:pPr>
        <w:numPr>
          <w:ilvl w:val="0"/>
          <w:numId w:val="1002"/>
        </w:numPr>
        <w:pStyle w:val="Compact"/>
      </w:pPr>
      <w:r>
        <w:t xml:space="preserve">89% cited Birmingham-specific support as a key retention factor (local onboarding teams responded within 2 business hours)</w:t>
      </w:r>
    </w:p>
    <w:p>
      <w:pPr>
        <w:numPr>
          <w:ilvl w:val="0"/>
          <w:numId w:val="1002"/>
        </w:numPr>
        <w:pStyle w:val="Compact"/>
      </w:pPr>
      <w:r>
        <w:t xml:space="preserve">"The city's tech community made adoption effortless – we had local user group meetings every Tuesday" - Director, Birmingham Media Agency</w:t>
      </w:r>
    </w:p>
    <w:p>
      <w:pPr>
        <w:pStyle w:val="FirstParagraph"/>
      </w:pPr>
      <w:r>
        <w:t xml:space="preserve">Crucially, the report identified Birmingham as our most vocal advocate market. 63% of customers volunteered to participate in case studies, with several becoming featured partners in our "Birmingham Success Stories" campaign.</w:t>
      </w:r>
    </w:p>
    <w:bookmarkEnd w:id="24"/>
    <w:bookmarkStart w:id="25" w:name="challenges-strategic-adaptations"/>
    <w:p>
      <w:pPr>
        <w:pStyle w:val="Heading2"/>
      </w:pPr>
      <w:r>
        <w:t xml:space="preserve">Challenges &amp; Strategic Adaptations</w:t>
      </w:r>
    </w:p>
    <w:p>
      <w:pPr>
        <w:pStyle w:val="FirstParagraph"/>
      </w:pPr>
      <w:r>
        <w:t xml:space="preserve">While results were exceptional, we faced two significant challenges specific to the United Kingdom Birmingham market:</w:t>
      </w:r>
    </w:p>
    <w:p>
      <w:pPr>
        <w:numPr>
          <w:ilvl w:val="0"/>
          <w:numId w:val="1003"/>
        </w:numPr>
        <w:pStyle w:val="Compact"/>
      </w:pPr>
      <w:r>
        <w:rPr>
          <w:bCs/>
          <w:b/>
        </w:rPr>
        <w:t xml:space="preserve">Infrastructure Limitations:</w:t>
      </w:r>
      <w:r>
        <w:t xml:space="preserve"> </w:t>
      </w:r>
      <w:r>
        <w:t xml:space="preserve">Some SMEs in outer boroughs experienced latency during peak hours. Our engineering team deployed localized Birmingham data caching servers in Q3, reducing average response time by 68% and eliminating 92% of cited performance issues.</w:t>
      </w:r>
    </w:p>
    <w:p>
      <w:pPr>
        <w:numPr>
          <w:ilvl w:val="0"/>
          <w:numId w:val="1003"/>
        </w:numPr>
        <w:pStyle w:val="Compact"/>
      </w:pPr>
      <w:r>
        <w:rPr>
          <w:bCs/>
          <w:b/>
        </w:rPr>
        <w:t xml:space="preserve">Cultural Misalignment:</w:t>
      </w:r>
      <w:r>
        <w:t xml:space="preserve"> </w:t>
      </w:r>
      <w:r>
        <w:t xml:space="preserve">Initial marketing materials emphasized "cloud efficiency" but neglected Birmingham's preference for collaborative workflows. We redesigned our sales collateral to highlight real-time team editing features (tested with local law firms), increasing conversion rates by 34%.</w:t>
      </w:r>
    </w:p>
    <w:p>
      <w:pPr>
        <w:pStyle w:val="FirstParagraph"/>
      </w:pPr>
      <w:r>
        <w:t xml:space="preserve">These adaptations – developed through direct engagement with Birmingham industry councils – became the blueprint for our UK market approach.</w:t>
      </w:r>
    </w:p>
    <w:bookmarkEnd w:id="25"/>
    <w:bookmarkStart w:id="26" w:name="future-outlook-strategic-recommendations"/>
    <w:p>
      <w:pPr>
        <w:pStyle w:val="Heading2"/>
      </w:pPr>
      <w:r>
        <w:t xml:space="preserve">Future Outlook &amp; Strategic Recommendations</w:t>
      </w:r>
    </w:p>
    <w:p>
      <w:pPr>
        <w:pStyle w:val="FirstParagraph"/>
      </w:pPr>
      <w:r>
        <w:t xml:space="preserve">The Sales Report confirms Birmingham's status as a high-potential market requiring strategic escalation:</w:t>
      </w:r>
    </w:p>
    <w:p>
      <w:pPr>
        <w:numPr>
          <w:ilvl w:val="0"/>
          <w:numId w:val="1004"/>
        </w:numPr>
        <w:pStyle w:val="Compact"/>
      </w:pPr>
      <w:r>
        <w:rPr>
          <w:bCs/>
          <w:b/>
        </w:rPr>
        <w:t xml:space="preserve">Invest in Local Talent Pool:</w:t>
      </w:r>
      <w:r>
        <w:t xml:space="preserve"> </w:t>
      </w:r>
      <w:r>
        <w:t xml:space="preserve">Partner with Birmingham City University to create "Editor Certified" training programs, targeting the city's 12,000+ annual digital media graduates</w:t>
      </w:r>
    </w:p>
    <w:p>
      <w:pPr>
        <w:numPr>
          <w:ilvl w:val="0"/>
          <w:numId w:val="1004"/>
        </w:numPr>
        <w:pStyle w:val="Compact"/>
      </w:pPr>
      <w:r>
        <w:rPr>
          <w:bCs/>
          <w:b/>
        </w:rPr>
        <w:t xml:space="preserve">Expand Birmingham Hub Capabilities:</w:t>
      </w:r>
      <w:r>
        <w:t xml:space="preserve"> </w:t>
      </w:r>
      <w:r>
        <w:t xml:space="preserve">Convert our current regional office into a dedicated UK Innovation Center for The Editor, focusing on AI co-pilots for Midlands industries</w:t>
      </w:r>
    </w:p>
    <w:p>
      <w:pPr>
        <w:numPr>
          <w:ilvl w:val="0"/>
          <w:numId w:val="1004"/>
        </w:numPr>
        <w:pStyle w:val="Compact"/>
      </w:pPr>
      <w:r>
        <w:rPr>
          <w:bCs/>
          <w:b/>
        </w:rPr>
        <w:t xml:space="preserve">Leverage City Partnerships:</w:t>
      </w:r>
      <w:r>
        <w:t xml:space="preserve"> </w:t>
      </w:r>
      <w:r>
        <w:t xml:space="preserve">Co-develop with Birmingham City Council's "Digital Health" initiative to position The Editor as the standard tool for NHS content management</w:t>
      </w:r>
    </w:p>
    <w:bookmarkEnd w:id="26"/>
    <w:bookmarkStart w:id="27" w:name="conclusion-why-birmingham-matters"/>
    <w:p>
      <w:pPr>
        <w:pStyle w:val="Heading2"/>
      </w:pPr>
      <w:r>
        <w:t xml:space="preserve">Conclusion: Why Birmingham Matters</w:t>
      </w:r>
    </w:p>
    <w:p>
      <w:pPr>
        <w:pStyle w:val="FirstParagraph"/>
      </w:pPr>
      <w:r>
        <w:t xml:space="preserve">This Sales Report demonstrates that the United Kingdom Birmingham market has evolved from a secondary sales region to a strategic growth engine. The Editor's performance here isn't just about numbers – it's about proving our product's adaptability to local business culture. In an era of fragmented markets, Birmingham delivered consistent growth because we treated it not as "just another UK city," but as the dynamic hub where digital transformation is happening in real-time.</w:t>
      </w:r>
    </w:p>
    <w:p>
      <w:pPr>
        <w:pStyle w:val="BodyText"/>
      </w:pPr>
      <w:r>
        <w:t xml:space="preserve">Our 37% growth in Birmingham outpaced all other UK regions precisely because The Editor was engineered with local context in mind. As we enter Q4, we will deploy the Birmingham playbook across all United Kingdom territories. For now, this Sales Report celebrates a market where innovation isn't just adopted – it's actively shaped by our customers and partners.</w:t>
      </w:r>
    </w:p>
    <w:p>
      <w:pPr>
        <w:pStyle w:val="BodyText"/>
      </w:pPr>
      <w:r>
        <w:rPr>
          <w:bCs/>
          <w:b/>
        </w:rPr>
        <w:t xml:space="preserve">Prepared By:</w:t>
      </w:r>
      <w:r>
        <w:t xml:space="preserve"> </w:t>
      </w:r>
      <w:r>
        <w:t xml:space="preserve">Regional Sales Analytics Team</w:t>
      </w:r>
      <w:r>
        <w:br/>
      </w:r>
      <w:r>
        <w:rPr>
          <w:bCs/>
          <w:b/>
        </w:rPr>
        <w:t xml:space="preserve">Verified Against:</w:t>
      </w:r>
      <w:r>
        <w:t xml:space="preserve"> </w:t>
      </w:r>
      <w:r>
        <w:t xml:space="preserve">Salesforce CRM Data, Customer Satisfaction Surveys (Q3 2024), Birmingham Chamber of Commerce Economic Indicators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Editor Product Performance in United Kingdom Birmingham</dc:title>
  <dc:creator/>
  <dc:language>en</dc:language>
  <cp:keywords/>
  <dcterms:created xsi:type="dcterms:W3CDTF">2026-07-23T11:39:26Z</dcterms:created>
  <dcterms:modified xsi:type="dcterms:W3CDTF">2026-07-23T11:39:26Z</dcterms:modified>
</cp:coreProperties>
</file>

<file path=docProps/custom.xml><?xml version="1.0" encoding="utf-8"?>
<Properties xmlns="http://schemas.openxmlformats.org/officeDocument/2006/custom-properties" xmlns:vt="http://schemas.openxmlformats.org/officeDocument/2006/docPropsVTypes"/>
</file>