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Editorial</w:t>
      </w:r>
      <w:r>
        <w:t xml:space="preserve"> </w:t>
      </w:r>
      <w:r>
        <w:t xml:space="preserve">Excellence</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X6567aba57c90290f89378091bea97c9c458a729"/>
    <w:p>
      <w:pPr>
        <w:pStyle w:val="Heading1"/>
      </w:pPr>
      <w:r>
        <w:t xml:space="preserve">Sales Report: Strategic Performance of the Editor Service in United Kingdom London Market</w:t>
      </w:r>
    </w:p>
    <w:p>
      <w:pPr>
        <w:pStyle w:val="FirstParagraph"/>
      </w:pPr>
      <w:r>
        <w:t xml:space="preserve">This comprehensive Sales Report details the operational performance, market positioning, and growth trajectory of the Editor service within the dynamic commercial landscape of United Kingdom London. As a leading editorial solutions provider tailored specifically for London's business ecosystem, Editor has demonstrated exceptional resilience and strategic alignment with local market demands. This report analyses Q3 2023 performance metrics, competitive positioning, client acquisition trends, and future growth opportunities specific to the United Kingdom capital.</w:t>
      </w:r>
    </w:p>
    <w:bookmarkStart w:id="20" w:name="Xddef07d89a970af0f39d4975449dceb6b230806"/>
    <w:p>
      <w:pPr>
        <w:pStyle w:val="Heading2"/>
      </w:pPr>
      <w:r>
        <w:t xml:space="preserve">Market Context: London's Editorial Demand Landscape</w:t>
      </w:r>
    </w:p>
    <w:p>
      <w:pPr>
        <w:pStyle w:val="FirstParagraph"/>
      </w:pPr>
      <w:r>
        <w:t xml:space="preserve">London remains the UK's premier hub for global commerce, finance, and creative industries – sectors with acute demand for precision editorial services. The Editor service has capitalized on this by offering specialized content refinement solutions that address London-specific challenges including Brexit regulatory compliance, multinational client communication standards, and the fast-paced nature of City of London business operations. Our analysis shows a 22% year-on-year increase in editorial service adoption across London-based enterprises since 2021, significantly outpacing the UK average of 15%. This growth is directly attributable to Editor's tailored approach to the United Kingdom market's unique requirements.</w:t>
      </w:r>
    </w:p>
    <w:bookmarkEnd w:id="20"/>
    <w:bookmarkStart w:id="21" w:name="q3-2023-performance-highlights"/>
    <w:p>
      <w:pPr>
        <w:pStyle w:val="Heading2"/>
      </w:pPr>
      <w:r>
        <w:t xml:space="preserve">Q3 2023 Performance Highlights</w:t>
      </w:r>
    </w:p>
    <w:p>
      <w:pPr>
        <w:pStyle w:val="FirstParagraph"/>
      </w:pPr>
      <w:r>
        <w:t xml:space="preserve">Performance Metric</w:t>
      </w:r>
    </w:p>
    <w:p>
      <w:pPr>
        <w:pStyle w:val="BodyText"/>
      </w:pPr>
      <w:r>
        <w:t xml:space="preserve">Q3 2023 (London)</w:t>
      </w:r>
    </w:p>
    <w:p>
      <w:pPr>
        <w:pStyle w:val="BodyText"/>
      </w:pPr>
      <w:r>
        <w:t xml:space="preserve">Q3 2022 (London)</w:t>
      </w:r>
    </w:p>
    <w:p>
      <w:pPr>
        <w:pStyle w:val="BodyText"/>
      </w:pPr>
      <w:r>
        <w:t xml:space="preserve">YoY Change</w:t>
      </w:r>
    </w:p>
    <w:p>
      <w:pPr>
        <w:pStyle w:val="BodyText"/>
      </w:pPr>
      <w:r>
        <w:t xml:space="preserve">Total Clients Acquired</w:t>
      </w:r>
    </w:p>
    <w:p>
      <w:pPr>
        <w:pStyle w:val="BodyText"/>
      </w:pPr>
      <w:r>
        <w:t xml:space="preserve">147</w:t>
      </w:r>
    </w:p>
    <w:p>
      <w:pPr>
        <w:pStyle w:val="BodyText"/>
      </w:pPr>
      <w:r>
        <w:t xml:space="preserve">118</w:t>
      </w:r>
    </w:p>
    <w:p>
      <w:pPr>
        <w:pStyle w:val="BodyText"/>
      </w:pPr>
      <w:r>
        <w:t xml:space="preserve">+24.6%</w:t>
      </w:r>
    </w:p>
    <w:p>
      <w:pPr>
        <w:pStyle w:val="BodyText"/>
      </w:pPr>
      <w:r>
        <w:t xml:space="preserve">Average Contract Value (GBP)</w:t>
      </w:r>
    </w:p>
    <w:p>
      <w:pPr>
        <w:pStyle w:val="BodyText"/>
      </w:pPr>
      <w:r>
        <w:t xml:space="preserve">£8,250</w:t>
      </w:r>
    </w:p>
    <w:p>
      <w:pPr>
        <w:pStyle w:val="BodyText"/>
      </w:pPr>
      <w:r>
        <w:t xml:space="preserve">£7,600</w:t>
      </w:r>
    </w:p>
    <w:p>
      <w:pPr>
        <w:pStyle w:val="BodyText"/>
      </w:pPr>
      <w:r>
        <w:t xml:space="preserve">The London market contributed 63% of Editor's total UK revenue in Q3 2023, with particular strength observed across finance (41%), legal (27%), and media &amp; advertising sectors (19%). Notably, the finance sector showed a 38% increase in demand for regulatory-compliant editorial services – directly linked to post-Brexit financial reporting requirements. Editor's London-based client success rate reached 94%, significantly exceeding the industry benchmark of 85%, demonstrating exceptional service delivery within United Kingdom markets.</w:t>
      </w:r>
    </w:p>
    <w:bookmarkEnd w:id="21"/>
    <w:bookmarkStart w:id="22" w:name="key-growth-drivers-in-london"/>
    <w:p>
      <w:pPr>
        <w:pStyle w:val="Heading2"/>
      </w:pPr>
      <w:r>
        <w:t xml:space="preserve">Key Growth Drivers in London</w:t>
      </w:r>
    </w:p>
    <w:p>
      <w:pPr>
        <w:pStyle w:val="FirstParagraph"/>
      </w:pPr>
      <w:r>
        <w:t xml:space="preserve">Editor's market dominance in United Kingdom London stems from three strategic pillars:</w:t>
      </w:r>
    </w:p>
    <w:p>
      <w:pPr>
        <w:numPr>
          <w:ilvl w:val="0"/>
          <w:numId w:val="1001"/>
        </w:numPr>
        <w:pStyle w:val="Compact"/>
      </w:pPr>
      <w:r>
        <w:rPr>
          <w:bCs/>
          <w:b/>
        </w:rPr>
        <w:t xml:space="preserve">Hyper-Local Expertise</w:t>
      </w:r>
      <w:r>
        <w:t xml:space="preserve">: Our London office maintains permanent staff with deep knowledge of UK business conventions, legal terminology, and metropolitan client expectations. This local presence ensures seamless integration into clients' workflows without the friction common with remote editorial services.</w:t>
      </w:r>
    </w:p>
    <w:p>
      <w:pPr>
        <w:numPr>
          <w:ilvl w:val="0"/>
          <w:numId w:val="1001"/>
        </w:numPr>
        <w:pStyle w:val="Compact"/>
      </w:pPr>
      <w:r>
        <w:rPr>
          <w:bCs/>
          <w:b/>
        </w:rPr>
        <w:t xml:space="preserve">Bespoke Compliance Framework</w:t>
      </w:r>
      <w:r>
        <w:t xml:space="preserve">: We've developed a UK-specific editorial compliance module addressing GDPR, Financial Conduct Authority (FCA) guidelines, and sector-specific regulations – a critical differentiator in London's highly regulated environment.</w:t>
      </w:r>
    </w:p>
    <w:p>
      <w:pPr>
        <w:numPr>
          <w:ilvl w:val="0"/>
          <w:numId w:val="1001"/>
        </w:numPr>
        <w:pStyle w:val="Compact"/>
      </w:pPr>
      <w:r>
        <w:rPr>
          <w:bCs/>
          <w:b/>
        </w:rPr>
        <w:t xml:space="preserve">Speed-to-Market Advantage</w:t>
      </w:r>
      <w:r>
        <w:t xml:space="preserve">: The Editor service delivers 48-hour turnaround for urgent London client needs (e.g., City of London board presentations), a key factor in our 33% increase in enterprise client retention within the capital.</w:t>
      </w:r>
    </w:p>
    <w:bookmarkEnd w:id="22"/>
    <w:bookmarkStart w:id="23" w:name="competitive-differentiation"/>
    <w:p>
      <w:pPr>
        <w:pStyle w:val="Heading2"/>
      </w:pPr>
      <w:r>
        <w:t xml:space="preserve">Competitive Differentiation</w:t>
      </w:r>
    </w:p>
    <w:p>
      <w:pPr>
        <w:pStyle w:val="FirstParagraph"/>
      </w:pPr>
      <w:r>
        <w:t xml:space="preserve">While numerous global editorial platforms operate in the United Kingdom, Editor maintains clear competitive superiority through its London-centric operational model. Competitors often use centralized overseas teams causing time-zone mismatches and cultural misunderstandings – issues that frequently arise in high-stakes London business communications. Our Q3 client satisfaction survey revealed 92% of London-based clients cited "local market understanding" as their primary reason for choosing Editor over alternatives, versus only 31% for generic international services.</w:t>
      </w:r>
    </w:p>
    <w:bookmarkEnd w:id="23"/>
    <w:bookmarkStart w:id="24" w:name="challenges-and-strategic-response"/>
    <w:p>
      <w:pPr>
        <w:pStyle w:val="Heading2"/>
      </w:pPr>
      <w:r>
        <w:t xml:space="preserve">Challenges and Strategic Response</w:t>
      </w:r>
    </w:p>
    <w:p>
      <w:pPr>
        <w:pStyle w:val="FirstParagraph"/>
      </w:pPr>
      <w:r>
        <w:t xml:space="preserve">Despite strong growth, two challenges require focused attention in the United Kingdom London market:</w:t>
      </w:r>
    </w:p>
    <w:p>
      <w:pPr>
        <w:numPr>
          <w:ilvl w:val="0"/>
          <w:numId w:val="1002"/>
        </w:numPr>
        <w:pStyle w:val="Compact"/>
      </w:pPr>
      <w:r>
        <w:rPr>
          <w:bCs/>
          <w:b/>
        </w:rPr>
        <w:t xml:space="preserve">Cost Sensitivity</w:t>
      </w:r>
      <w:r>
        <w:t xml:space="preserve">: Post-pandemic economic pressures have heightened price scrutiny. Our response includes introducing tiered service packages (Essential, Premium, Enterprise) with clear ROI metrics for London clients – demonstrating how editorial quality directly impacts sales conversion rates.</w:t>
      </w:r>
    </w:p>
    <w:p>
      <w:pPr>
        <w:numPr>
          <w:ilvl w:val="0"/>
          <w:numId w:val="1002"/>
        </w:numPr>
        <w:pStyle w:val="Compact"/>
      </w:pPr>
      <w:r>
        <w:rPr>
          <w:bCs/>
          <w:b/>
        </w:rPr>
        <w:t xml:space="preserve">Talent Retention</w:t>
      </w:r>
      <w:r>
        <w:t xml:space="preserve">: Competition for skilled editors in London has intensified. We've implemented a "London Talent Partnership" program with University College London and King's College to develop local editorial talent, reducing recruitment costs by 18% while maintaining service quality.</w:t>
      </w:r>
    </w:p>
    <w:bookmarkEnd w:id="24"/>
    <w:bookmarkStart w:id="25" w:name="Xb52c036ddba77c4db7890051338535ef1003754"/>
    <w:p>
      <w:pPr>
        <w:pStyle w:val="Heading2"/>
      </w:pPr>
      <w:r>
        <w:t xml:space="preserve">Future Outlook: Strategic Opportunities in United Kingdom London</w:t>
      </w:r>
    </w:p>
    <w:p>
      <w:pPr>
        <w:pStyle w:val="FirstParagraph"/>
      </w:pPr>
      <w:r>
        <w:t xml:space="preserve">The Editor service projects 35% revenue growth for the United Kingdom market in 2024, with London expected to drive 68% of this expansion. Key initiatives include:</w:t>
      </w:r>
    </w:p>
    <w:p>
      <w:pPr>
        <w:numPr>
          <w:ilvl w:val="0"/>
          <w:numId w:val="1003"/>
        </w:numPr>
        <w:pStyle w:val="Compact"/>
      </w:pPr>
      <w:r>
        <w:t xml:space="preserve">Establishing a dedicated West End marketing hub to target high-value London advertising agencies</w:t>
      </w:r>
    </w:p>
    <w:p>
      <w:pPr>
        <w:numPr>
          <w:ilvl w:val="0"/>
          <w:numId w:val="1003"/>
        </w:numPr>
        <w:pStyle w:val="Compact"/>
      </w:pPr>
      <w:r>
        <w:t xml:space="preserve">Launching "Brexit+1" compliance content suites for UK financial institutions navigating evolving regulations</w:t>
      </w:r>
    </w:p>
    <w:p>
      <w:pPr>
        <w:numPr>
          <w:ilvl w:val="0"/>
          <w:numId w:val="1003"/>
        </w:numPr>
        <w:pStyle w:val="Compact"/>
      </w:pPr>
      <w:r>
        <w:t xml:space="preserve">Integrating with London's digital infrastructure through partnerships with tech platforms like Citymapper and Transport for London (TfL) to offer location-based editorial services for mobile workforces</w:t>
      </w:r>
    </w:p>
    <w:p>
      <w:pPr>
        <w:pStyle w:val="FirstParagraph"/>
      </w:pPr>
      <w:r>
        <w:t xml:space="preserve">Importantly, Editor's commitment to the United Kingdom market is evidenced by our £250,000 investment in a new London headquarters at 18 Fleet Street – positioning us directly within the heart of UK editorial and financial activity. This strategic move reinforces our local presence and signals long-term commitment to the London business community.</w:t>
      </w:r>
    </w:p>
    <w:bookmarkEnd w:id="25"/>
    <w:bookmarkStart w:id="26" w:name="conclusion"/>
    <w:p>
      <w:pPr>
        <w:pStyle w:val="Heading2"/>
      </w:pPr>
      <w:r>
        <w:t xml:space="preserve">Conclusion</w:t>
      </w:r>
    </w:p>
    <w:p>
      <w:pPr>
        <w:pStyle w:val="FirstParagraph"/>
      </w:pPr>
      <w:r>
        <w:t xml:space="preserve">The Sales Report confirms Editor's exceptional performance in United Kingdom London – a market where our localized approach delivers measurable competitive advantage. With 78% of new London clients acquired through referrals (exceeding the UK average of 65%), and a growing portfolio of blue-chip City firms including Barclays, PwC, and The Guardian Media Group as clients, Editor has cemented itself as the editorial partner of choice for London's most discerning businesses. Our continued success demonstrates that when editorial excellence is specifically engineered for London's commercial context – rather than being generic across markets – transformative business outcomes become achievable. As we look ahead to 2024, Editor remains fully committed to delivering unparalleled value within the United Kingdom capital while setting new standards for editorial service excellence in London.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Editorial Excellence in United Kingdom London</dc:title>
  <dc:creator/>
  <dc:language>en</dc:language>
  <cp:keywords/>
  <dcterms:created xsi:type="dcterms:W3CDTF">2026-07-23T15:40:01Z</dcterms:created>
  <dcterms:modified xsi:type="dcterms:W3CDTF">2026-07-23T15:40:01Z</dcterms:modified>
</cp:coreProperties>
</file>

<file path=docProps/custom.xml><?xml version="1.0" encoding="utf-8"?>
<Properties xmlns="http://schemas.openxmlformats.org/officeDocument/2006/custom-properties" xmlns:vt="http://schemas.openxmlformats.org/officeDocument/2006/docPropsVTypes"/>
</file>