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2" w:name="X6d1730567b90e1b9dd3a03df0d094489f8bb20e"/>
    <w:p>
      <w:pPr>
        <w:pStyle w:val="Heading1"/>
      </w:pPr>
      <w:r>
        <w:t xml:space="preserve">Comprehensive Sales Report: Editor Product Performance in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Sales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editorial platform, "Editor," within the United States New York City market during Q3 2023. Despite economic headwinds in the broader media sector, Editor achieved remarkable growth in New York City—surpassing regional targets by 18.7% and establishing a new benchmark for enterprise adoption in the nation's premier media hub. The data underscores Editor's critical role as the industry-standard content management solution for NYC-based publishers, newsrooms, and creative agencies operating within United States markets.</w:t>
      </w:r>
    </w:p>
    <w:bookmarkEnd w:id="20"/>
    <w:bookmarkStart w:id="21" w:name="Xc5dbcdc4e4e19bf75d00b11647c1083167a555b"/>
    <w:p>
      <w:pPr>
        <w:pStyle w:val="Heading2"/>
      </w:pPr>
      <w:r>
        <w:t xml:space="preserve">II. Market Context: Why New York City Matters</w:t>
      </w:r>
    </w:p>
    <w:p>
      <w:pPr>
        <w:pStyle w:val="FirstParagraph"/>
      </w:pPr>
      <w:r>
        <w:t xml:space="preserve">New York City remains the undisputed epicenter of American media and publishing. As the headquarters for 45% of Fortune 500 media companies, including major players like The New York Times, Bloomberg, and NBCUniversal, NYC represents a $2.3B annual market opportunity for editorial technology solutions. This Sales Report confirms Editor's strategic dominance in this high-value territory where content velocity and regulatory compliance directly impact revenue streams across the United States.</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(NYC)</w:t>
            </w:r>
          </w:p>
        </w:tc>
        <w:tc>
          <w:tcPr/>
          <w:p>
            <w:pPr>
              <w:pStyle w:val="Compact"/>
              <w:jc w:val="left"/>
            </w:pPr>
            <w:r>
              <w:t xml:space="preserve">Q2 2023 (NYC)</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$1,845,000</w:t>
            </w:r>
          </w:p>
        </w:tc>
        <w:tc>
          <w:tcPr/>
          <w:p>
            <w:pPr>
              <w:pStyle w:val="Compact"/>
              <w:jc w:val="left"/>
            </w:pPr>
            <w:r>
              <w:t xml:space="preserve">$1,567,200</w:t>
            </w:r>
          </w:p>
        </w:tc>
        <w:tc>
          <w:tcPr/>
          <w:p>
            <w:pPr>
              <w:pStyle w:val="Compact"/>
              <w:jc w:val="left"/>
            </w:pPr>
            <w:r>
              <w:t xml:space="preserve">+17.7%</w:t>
            </w:r>
          </w:p>
        </w:tc>
      </w:tr>
      <w:tr>
        <w:tc>
          <w:tcPr/>
          <w:p>
            <w:pPr>
              <w:pStyle w:val="Compact"/>
              <w:jc w:val="left"/>
            </w:pPr>
            <w:r>
              <w:t xml:space="preserve">New Enterprise Contracts</w:t>
            </w:r>
          </w:p>
        </w:tc>
        <w:tc>
          <w:tcPr/>
          <w:p>
            <w:pPr>
              <w:pStyle w:val="Compact"/>
              <w:jc w:val="left"/>
            </w:pPr>
            <w:r>
              <w:t xml:space="preserve">28 (34% of total)</w:t>
            </w:r>
          </w:p>
        </w:tc>
        <w:tc>
          <w:tcPr/>
          <w:p>
            <w:pPr>
              <w:pStyle w:val="Compact"/>
              <w:jc w:val="left"/>
            </w:pPr>
            <w:r>
              <w:t xml:space="preserve">19 (32%)</w:t>
            </w:r>
          </w:p>
        </w:tc>
        <w:tc>
          <w:tcPr/>
          <w:p>
            <w:pPr>
              <w:pStyle w:val="Compact"/>
              <w:jc w:val="left"/>
            </w:pPr>
            <w:r>
              <w:t xml:space="preserve">+47.4%</w:t>
            </w:r>
          </w:p>
        </w:tc>
      </w:tr>
      <w:tr>
        <w:tc>
          <w:tcPr/>
          <w:p>
            <w:pPr>
              <w:pStyle w:val="Compact"/>
              <w:jc w:val="left"/>
            </w:pPr>
            <w:r>
              <w:t xml:space="preserve">Expansion Revenue (Existing Clients)</w:t>
            </w:r>
          </w:p>
        </w:tc>
        <w:tc>
          <w:tcPr/>
          <w:p>
            <w:pPr>
              <w:pStyle w:val="Compact"/>
              <w:jc w:val="left"/>
            </w:pPr>
            <w:r>
              <w:t xml:space="preserve">$618,000</w:t>
            </w:r>
          </w:p>
        </w:tc>
        <w:tc>
          <w:tcPr/>
          <w:p>
            <w:pPr>
              <w:pStyle w:val="Compact"/>
              <w:jc w:val="left"/>
            </w:pPr>
            <w:r>
              <w:t xml:space="preserve">$502,500</w:t>
            </w:r>
          </w:p>
        </w:tc>
        <w:tc>
          <w:tcPr/>
          <w:p>
            <w:pPr>
              <w:pStyle w:val="Compact"/>
              <w:jc w:val="left"/>
            </w:pPr>
            <w:r>
              <w:t xml:space="preserve">+23.0%</w:t>
            </w:r>
          </w:p>
        </w:tc>
      </w:tr>
      <w:tr>
        <w:tc>
          <w:tcPr/>
          <w:p>
            <w:pPr>
              <w:pStyle w:val="Compact"/>
              <w:jc w:val="left"/>
            </w:pPr>
            <w:r>
              <w:t xml:space="preserve">Customer Acquisition Cost (CAC)</w:t>
            </w:r>
          </w:p>
        </w:tc>
        <w:tc>
          <w:tcPr/>
          <w:p>
            <w:pPr>
              <w:pStyle w:val="Compact"/>
              <w:jc w:val="left"/>
            </w:pPr>
            <w:r>
              <w:t xml:space="preserve">$9,842</w:t>
            </w:r>
          </w:p>
        </w:tc>
        <w:tc>
          <w:tcPr/>
          <w:p>
            <w:pPr>
              <w:pStyle w:val="Compact"/>
              <w:jc w:val="left"/>
            </w:pPr>
            <w:r>
              <w:t xml:space="preserve">$11,345</w:t>
            </w:r>
          </w:p>
        </w:tc>
        <w:tc>
          <w:tcPr/>
          <w:p>
            <w:pPr>
              <w:pStyle w:val="Compact"/>
              <w:jc w:val="left"/>
            </w:pPr>
            <w:r>
              <w:t xml:space="preserve">-13.2%*</w:t>
            </w:r>
          </w:p>
        </w:tc>
      </w:tr>
      <w:tr>
        <w:tc>
          <w:tcPr/>
          <w:p>
            <w:pPr>
              <w:pStyle w:val="Compact"/>
              <w:jc w:val="left"/>
            </w:pPr>
            <w:r>
              <w:t xml:space="preserve">Net Revenue Retention (NRR)</w:t>
            </w:r>
          </w:p>
        </w:tc>
        <w:tc>
          <w:tcPr/>
          <w:p>
            <w:pPr>
              <w:pStyle w:val="Compact"/>
              <w:jc w:val="left"/>
            </w:pPr>
            <w:r>
              <w:t xml:space="preserve">127%</w:t>
            </w:r>
          </w:p>
        </w:tc>
        <w:tc>
          <w:tcPr/>
          <w:p>
            <w:pPr>
              <w:pStyle w:val="Compact"/>
              <w:jc w:val="left"/>
            </w:pPr>
            <w:r>
              <w:t xml:space="preserve">120%</w:t>
            </w:r>
          </w:p>
        </w:tc>
        <w:tc>
          <w:tcPr/>
          <w:p>
            <w:pPr>
              <w:pStyle w:val="Compact"/>
              <w:jc w:val="left"/>
            </w:pPr>
            <w:r>
              <w:t xml:space="preserve">+7 points</w:t>
            </w:r>
          </w:p>
        </w:tc>
      </w:tr>
    </w:tbl>
    <w:p>
      <w:pPr>
        <w:pStyle w:val="BodyText"/>
      </w:pPr>
      <w:r>
        <w:t xml:space="preserve">*Driven by streamlined onboarding process adopted in NYC sales team during Q2. All figures represent United States New York City operations only.</w:t>
      </w:r>
    </w:p>
    <w:bookmarkEnd w:id="22"/>
    <w:bookmarkStart w:id="25" w:name="X8c34cd4cb17fea4e3eabb91900270c7a569fb75"/>
    <w:p>
      <w:pPr>
        <w:pStyle w:val="Heading2"/>
      </w:pPr>
      <w:r>
        <w:t xml:space="preserve">IV. Breakdown: Editor's Dominance in NYC Media Ecosystem</w:t>
      </w:r>
    </w:p>
    <w:bookmarkStart w:id="23" w:name="a.-industry-specific-adoption"/>
    <w:p>
      <w:pPr>
        <w:pStyle w:val="Heading3"/>
      </w:pPr>
      <w:r>
        <w:t xml:space="preserve">A. Industry-Specific Adoption</w:t>
      </w:r>
    </w:p>
    <w:p>
      <w:pPr>
        <w:numPr>
          <w:ilvl w:val="0"/>
          <w:numId w:val="1001"/>
        </w:numPr>
        <w:pStyle w:val="Compact"/>
      </w:pPr>
      <w:r>
        <w:rPr>
          <w:bCs/>
          <w:b/>
        </w:rPr>
        <w:t xml:space="preserve">News Publishers (61% of total revenue):</w:t>
      </w:r>
      <w:r>
        <w:t xml:space="preserve"> </w:t>
      </w:r>
      <w:r>
        <w:t xml:space="preserve">The New York Times' recent migration to Editor's AI-assisted editing module added $412K in recurring revenue. Local news startups like Gotham Gazette cited "Editor's real-time compliance tools" as critical for navigating NYC-specific media regulations.</w:t>
      </w:r>
    </w:p>
    <w:p>
      <w:pPr>
        <w:numPr>
          <w:ilvl w:val="0"/>
          <w:numId w:val="1001"/>
        </w:numPr>
        <w:pStyle w:val="Compact"/>
      </w:pPr>
      <w:r>
        <w:rPr>
          <w:bCs/>
          <w:b/>
        </w:rPr>
        <w:t xml:space="preserve">Advertising Agencies (23%):</w:t>
      </w:r>
      <w:r>
        <w:t xml:space="preserve"> </w:t>
      </w:r>
      <w:r>
        <w:t xml:space="preserve">McCann NYC and Wunderman Thompson leveraged Editor's cross-platform content syndication to manage 12+ campaigns simultaneously, driving $389K in new contracts.</w:t>
      </w:r>
    </w:p>
    <w:p>
      <w:pPr>
        <w:numPr>
          <w:ilvl w:val="0"/>
          <w:numId w:val="1001"/>
        </w:numPr>
        <w:pStyle w:val="Compact"/>
      </w:pPr>
      <w:r>
        <w:rPr>
          <w:bCs/>
          <w:b/>
        </w:rPr>
        <w:t xml:space="preserve">Corporate Communications (16%):</w:t>
      </w:r>
      <w:r>
        <w:t xml:space="preserve"> </w:t>
      </w:r>
      <w:r>
        <w:t xml:space="preserve">Major financial institutions (JPMorgan, BlackRock) adopted Editor for SEC-compliant internal communications, representing a $250K expansion from last year.</w:t>
      </w:r>
    </w:p>
    <w:bookmarkEnd w:id="23"/>
    <w:bookmarkStart w:id="24" w:name="b.-geographic-concentration-in-nyc"/>
    <w:p>
      <w:pPr>
        <w:pStyle w:val="Heading3"/>
      </w:pPr>
      <w:r>
        <w:t xml:space="preserve">B. Geographic Concentration in NYC</w:t>
      </w:r>
    </w:p>
    <w:p>
      <w:pPr>
        <w:pStyle w:val="FirstParagraph"/>
      </w:pPr>
      <w:r>
        <w:t xml:space="preserve">87% of all New York City sales occurred within Manhattan and Brooklyn—home to 92% of the city's media headquarters. The report identifies a strategic cluster effect: Editor adoption at one major firm (e.g., Reuters) accelerates purchases by adjacent competitors like Bloomberg, creating organic market expansion.</w:t>
      </w:r>
    </w:p>
    <w:bookmarkEnd w:id="24"/>
    <w:bookmarkEnd w:id="25"/>
    <w:bookmarkStart w:id="26" w:name="Xfb58b86acc85192c23ea93f39c6730f088c6b32"/>
    <w:p>
      <w:pPr>
        <w:pStyle w:val="Heading2"/>
      </w:pPr>
      <w:r>
        <w:t xml:space="preserve">V. Customer Insights: Why NYC Prefers Editor</w:t>
      </w:r>
    </w:p>
    <w:p>
      <w:pPr>
        <w:pStyle w:val="FirstParagraph"/>
      </w:pPr>
      <w:r>
        <w:t xml:space="preserve">Our Q3 customer survey of 112 NYC clients revealed three non-negotiable differentiators:</w:t>
      </w:r>
    </w:p>
    <w:p>
      <w:pPr>
        <w:numPr>
          <w:ilvl w:val="0"/>
          <w:numId w:val="1002"/>
        </w:numPr>
        <w:pStyle w:val="Compact"/>
      </w:pPr>
      <w:r>
        <w:rPr>
          <w:bCs/>
          <w:b/>
        </w:rPr>
        <w:t xml:space="preserve">Regulatory Precision:</w:t>
      </w:r>
      <w:r>
        <w:t xml:space="preserve"> </w:t>
      </w:r>
      <w:r>
        <w:t xml:space="preserve">"Editor's GDPR/CCPA compliance engine saved us $87K in potential fines during the New York State Consumer Privacy Act rollout," noted a senior editor at a major healthcare publisher.</w:t>
      </w:r>
    </w:p>
    <w:p>
      <w:pPr>
        <w:numPr>
          <w:ilvl w:val="0"/>
          <w:numId w:val="1002"/>
        </w:numPr>
        <w:pStyle w:val="Compact"/>
      </w:pPr>
      <w:r>
        <w:rPr>
          <w:bCs/>
          <w:b/>
        </w:rPr>
        <w:t xml:space="preserve">Real-Time Collaboration:</w:t>
      </w:r>
      <w:r>
        <w:t xml:space="preserve"> </w:t>
      </w:r>
      <w:r>
        <w:t xml:space="preserve">94% of NYC teams cited Editor's multi-user editing as critical for managing 24/7 news cycles across time zones—a necessity in United States media operations.</w:t>
      </w:r>
    </w:p>
    <w:p>
      <w:pPr>
        <w:numPr>
          <w:ilvl w:val="0"/>
          <w:numId w:val="1002"/>
        </w:numPr>
        <w:pStyle w:val="Compact"/>
      </w:pPr>
      <w:r>
        <w:rPr>
          <w:bCs/>
          <w:b/>
        </w:rPr>
        <w:t xml:space="preserve">Traffic Integration:</w:t>
      </w:r>
      <w:r>
        <w:t xml:space="preserve"> </w:t>
      </w:r>
      <w:r>
        <w:t xml:space="preserve">Seamless connection with NY Daily News and WNYC platforms reduced content deployment time by 63%, directly impacting revenue from digital subscriptions.</w:t>
      </w:r>
    </w:p>
    <w:bookmarkEnd w:id="26"/>
    <w:bookmarkStart w:id="29" w:name="vi.-challenges-strategic-opportunities"/>
    <w:p>
      <w:pPr>
        <w:pStyle w:val="Heading2"/>
      </w:pPr>
      <w:r>
        <w:t xml:space="preserve">VI. Challenges &amp; Strategic Opportunities</w:t>
      </w:r>
    </w:p>
    <w:bookmarkStart w:id="27" w:name="a.-market-specific-challenges"/>
    <w:p>
      <w:pPr>
        <w:pStyle w:val="Heading3"/>
      </w:pPr>
      <w:r>
        <w:t xml:space="preserve">A. Market-Specific Challenges</w:t>
      </w:r>
    </w:p>
    <w:p>
      <w:pPr>
        <w:pStyle w:val="FirstParagraph"/>
      </w:pPr>
      <w:r>
        <w:t xml:space="preserve">The competitive landscape in United States New York City remains intense, with Adobe's new editorial suite capturing 15% of the enterprise market share in Q3. However, our Sales Report indicates a key vulnerability: Adobe's solution requires costly custom integrations with NYC-specific media workflows (e.g., WNYC broadcasting protocols), whereas Editor offers native compatibility.</w:t>
      </w:r>
    </w:p>
    <w:bookmarkEnd w:id="27"/>
    <w:bookmarkStart w:id="28" w:name="b.-growth-opportunities"/>
    <w:p>
      <w:pPr>
        <w:pStyle w:val="Heading3"/>
      </w:pPr>
      <w:r>
        <w:t xml:space="preserve">B. Growth Opportunities</w:t>
      </w:r>
    </w:p>
    <w:p>
      <w:pPr>
        <w:numPr>
          <w:ilvl w:val="0"/>
          <w:numId w:val="1003"/>
        </w:numPr>
        <w:pStyle w:val="Compact"/>
      </w:pPr>
      <w:r>
        <w:rPr>
          <w:bCs/>
          <w:b/>
        </w:rPr>
        <w:t xml:space="preserve">Small Media Outlets:</w:t>
      </w:r>
      <w:r>
        <w:t xml:space="preserve"> </w:t>
      </w:r>
      <w:r>
        <w:t xml:space="preserve">Only 29% of NYC's 500+ independent publishers use enterprise editorial tools. Targeting this segment with our "Editor Lite" tier could unlock $12M in untapped potential.</w:t>
      </w:r>
    </w:p>
    <w:p>
      <w:pPr>
        <w:numPr>
          <w:ilvl w:val="0"/>
          <w:numId w:val="1003"/>
        </w:numPr>
        <w:pStyle w:val="Compact"/>
      </w:pPr>
      <w:r>
        <w:rPr>
          <w:bCs/>
          <w:b/>
        </w:rPr>
        <w:t xml:space="preserve">Government Contracts:</w:t>
      </w:r>
      <w:r>
        <w:t xml:space="preserve"> </w:t>
      </w:r>
      <w:r>
        <w:t xml:space="preserve">New York City's Digital Equity Initiative requires compliant content management for all public-facing agencies—presenting a $3.8M opportunity by Q4 2024.</w:t>
      </w:r>
    </w:p>
    <w:p>
      <w:pPr>
        <w:numPr>
          <w:ilvl w:val="0"/>
          <w:numId w:val="1003"/>
        </w:numPr>
        <w:pStyle w:val="Compact"/>
      </w:pPr>
      <w:r>
        <w:rPr>
          <w:bCs/>
          <w:b/>
        </w:rPr>
        <w:t xml:space="preserve">NYC Media Summit Partnership:</w:t>
      </w:r>
      <w:r>
        <w:t xml:space="preserve"> </w:t>
      </w:r>
      <w:r>
        <w:t xml:space="preserve">Co-hosting the upcoming "Media Innovation Summit" with NYU's Tisch School of the Arts will position Editor as the city's technology partner.</w:t>
      </w:r>
    </w:p>
    <w:bookmarkEnd w:id="28"/>
    <w:bookmarkEnd w:id="29"/>
    <w:bookmarkStart w:id="30" w:name="vii.-future-outlook-q4-2023-beyond"/>
    <w:p>
      <w:pPr>
        <w:pStyle w:val="Heading2"/>
      </w:pPr>
      <w:r>
        <w:t xml:space="preserve">VII. Future Outlook: Q4 2023 &amp; Beyond</w:t>
      </w:r>
    </w:p>
    <w:p>
      <w:pPr>
        <w:pStyle w:val="FirstParagraph"/>
      </w:pPr>
      <w:r>
        <w:t xml:space="preserve">Based on current pipeline velocity in New York City, we project 19% revenue growth for Editor through December 2023—exceeding our United States national target by 5.3 points. Critical initiatives include:</w:t>
      </w:r>
    </w:p>
    <w:p>
      <w:pPr>
        <w:numPr>
          <w:ilvl w:val="0"/>
          <w:numId w:val="1004"/>
        </w:numPr>
        <w:pStyle w:val="Compact"/>
      </w:pPr>
      <w:r>
        <w:t xml:space="preserve">Launching "Editor NYC Edition" with pre-configured templates for local media compliance</w:t>
      </w:r>
    </w:p>
    <w:p>
      <w:pPr>
        <w:numPr>
          <w:ilvl w:val="0"/>
          <w:numId w:val="1004"/>
        </w:numPr>
        <w:pStyle w:val="Compact"/>
      </w:pPr>
      <w:r>
        <w:t xml:space="preserve">Deploying a dedicated NYC sales team of 12 specialists (up from 8 in Q2)</w:t>
      </w:r>
    </w:p>
    <w:p>
      <w:pPr>
        <w:numPr>
          <w:ilvl w:val="0"/>
          <w:numId w:val="1004"/>
        </w:numPr>
        <w:pStyle w:val="Compact"/>
      </w:pPr>
      <w:r>
        <w:t xml:space="preserve">Integrating with New York City's open data portal for real-time news context</w:t>
      </w:r>
    </w:p>
    <w:p>
      <w:pPr>
        <w:pStyle w:val="FirstParagraph"/>
      </w:pPr>
      <w:r>
        <w:t xml:space="preserve">The Sales Report confirms that Editor is no longer merely a product—it has become the operational backbone for nearly every major media entity in United States New York City. As we enter 2024, our strategic focus must be cementing this leadership through hyper-localized innovation rather than generic enterprise features.</w:t>
      </w:r>
    </w:p>
    <w:bookmarkEnd w:id="30"/>
    <w:bookmarkStart w:id="31" w:name="viii.-conclusion"/>
    <w:p>
      <w:pPr>
        <w:pStyle w:val="Heading2"/>
      </w:pPr>
      <w:r>
        <w:t xml:space="preserve">VIII. Conclusion</w:t>
      </w:r>
    </w:p>
    <w:p>
      <w:pPr>
        <w:pStyle w:val="FirstParagraph"/>
      </w:pPr>
      <w:r>
        <w:t xml:space="preserve">This comprehensive Sales Report demonstrates Editor's transformative role in New York City's media economy. With the city generating 38% of all U.S. editorial technology revenue, our performance here is not just a regional achievement—it directly impacts national market leadership. The data leaves no doubt: for any company seeking to operate within United States media markets, Editor is the indispensable platform for success in New York City and beyond. We recommend doubling down on NYC-centric innovation to maintain our 23% market share lead while expanding into adjacent government and education verticals.</w:t>
      </w:r>
    </w:p>
    <w:p>
      <w:pPr>
        <w:pStyle w:val="BodyText"/>
      </w:pPr>
      <w:r>
        <w:rPr>
          <w:bCs/>
          <w:b/>
        </w:rPr>
        <w:t xml:space="preserve">Prepared By:</w:t>
      </w:r>
      <w:r>
        <w:t xml:space="preserve"> </w:t>
      </w:r>
      <w:r>
        <w:t xml:space="preserve">National Sales Operations, Editorial Solutions Division</w:t>
      </w:r>
      <w:r>
        <w:br/>
      </w:r>
      <w:r>
        <w:rPr>
          <w:bCs/>
          <w:b/>
        </w:rPr>
        <w:t xml:space="preserve">Confidentiality:</w:t>
      </w:r>
      <w:r>
        <w:t xml:space="preserve"> </w:t>
      </w:r>
      <w:r>
        <w:t xml:space="preserve">This document is strictly for internal use within the United States. Unauthorized distribution prohibited.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States New York City Market Analysis</dc:title>
  <dc:creator/>
  <dc:language>en</dc:language>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