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Uzbekistan</w:t>
      </w:r>
      <w:r>
        <w:t xml:space="preserve"> </w:t>
      </w:r>
      <w:r>
        <w:t xml:space="preserve">Tashkent</w:t>
      </w:r>
      <w:r>
        <w:t xml:space="preserve"> </w:t>
      </w:r>
      <w:r>
        <w:t xml:space="preserve">Market</w:t>
      </w:r>
      <w:r>
        <w:t xml:space="preserve"> </w:t>
      </w:r>
      <w:r>
        <w:t xml:space="preserve">Analysis</w:t>
      </w:r>
    </w:p>
    <w:bookmarkStart w:id="27" w:name="Xb7a9a5e7e9f61f41af8ed6aeb21d7d5d2e94bad"/>
    <w:p>
      <w:pPr>
        <w:pStyle w:val="Heading1"/>
      </w:pPr>
      <w:r>
        <w:t xml:space="preserve">Sales Report: Global Editor Product Performance in Uzbekistan Tashkent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Product Development Teams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market performance of our flagship editorial software suite, "Global Editor," in Uzbekistan's capital city Tashkent. The quarter demonstrated exceptional growth with a 147% year-over-year increase in sales volume, establishing Tashkent as one of our most promising emerging markets. This success underscores the strategic importance of targeting Central Asian tech hubs and validates our localized approach to the Editor product ecosystem within Uzbekistan Tashkent's digital transformation landscape.</w:t>
      </w:r>
    </w:p>
    <w:bookmarkEnd w:id="20"/>
    <w:bookmarkStart w:id="21" w:name="Xda875ea0f53fff5dbe997baeea90b7036076e9d"/>
    <w:p>
      <w:pPr>
        <w:pStyle w:val="Heading2"/>
      </w:pPr>
      <w:r>
        <w:t xml:space="preserve">II. Market Context: Uzbekistan Tashkent - The Emerging Digital Hub</w:t>
      </w:r>
    </w:p>
    <w:p>
      <w:pPr>
        <w:pStyle w:val="FirstParagraph"/>
      </w:pPr>
      <w:r>
        <w:t xml:space="preserve">Tashkent, the vibrant capital of Uzbekistan, has rapidly evolved into a key technology nexus in Central Asia. With government initiatives like "Digital Uzbekistan 2030" accelerating digital adoption across media, education and business sectors, demand for professional editorial solutions has surged. Our Sales Report confirms that Tashkent's market now represents 18% of all Central Asian revenue for the Editor suite – a position we've secured through strategic localization partnerships with local tech firms like "Tashkent Tech Solutions" and "UzNet Media."</w:t>
      </w:r>
    </w:p>
    <w:p>
      <w:pPr>
        <w:pStyle w:val="BodyText"/>
      </w:pPr>
      <w:r>
        <w:t xml:space="preserve">Notably, Uzbekistan's 2023 digital economy growth rate of 19.7% (World Bank) directly correlates with our Editor sales trajectory. The city's expanding creative industry – including 42 new media startups launched in Tashkent during Q3 alone – has created unprecedented demand for sophisticated content creation tools that the Global Editor delivers.</w:t>
      </w:r>
    </w:p>
    <w:bookmarkEnd w:id="21"/>
    <w:bookmarkStart w:id="22" w:name="Xe0b6150dd0b3272a314b758afd0d0dd11df4642"/>
    <w:p>
      <w:pPr>
        <w:pStyle w:val="Heading2"/>
      </w:pPr>
      <w:r>
        <w:t xml:space="preserve">III. Sales Performance: Editor Product Metrics (Tashkent Market)</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Total Editor Licenses Sold (Tashkent)</w:t>
      </w:r>
    </w:p>
    <w:p>
      <w:pPr>
        <w:pStyle w:val="BodyText"/>
      </w:pPr>
      <w:r>
        <w:t xml:space="preserve">$148,500</w:t>
      </w:r>
    </w:p>
    <w:p>
      <w:pPr>
        <w:pStyle w:val="BodyText"/>
      </w:pPr>
      <w:r>
        <w:t xml:space="preserve">$85,700</w:t>
      </w:r>
    </w:p>
    <w:p>
      <w:pPr>
        <w:pStyle w:val="BodyText"/>
      </w:pPr>
      <w:r>
        <w:t xml:space="preserve">+73.2%</w:t>
      </w:r>
    </w:p>
    <w:p>
      <w:pPr>
        <w:pStyle w:val="BodyText"/>
      </w:pPr>
      <w:r>
        <w:t xml:space="preserve">Enterprise Contracts (Govt/Corporates)</w:t>
      </w:r>
    </w:p>
    <w:p>
      <w:pPr>
        <w:pStyle w:val="BodyText"/>
      </w:pPr>
      <w:r>
        <w:t xml:space="preserve">12</w:t>
      </w:r>
    </w:p>
    <w:p>
      <w:pPr>
        <w:pStyle w:val="BodyText"/>
      </w:pPr>
      <w:r>
        <w:t xml:space="preserve">5</w:t>
      </w:r>
    </w:p>
    <w:p>
      <w:pPr>
        <w:pStyle w:val="BodyText"/>
      </w:pPr>
      <w:r>
        <w:t xml:space="preserve">+140%</w:t>
      </w:r>
    </w:p>
    <w:p>
      <w:pPr>
        <w:pStyle w:val="BodyText"/>
      </w:pPr>
      <w:r>
        <w:t xml:space="preserve">Individual User Subscriptions</w:t>
      </w:r>
    </w:p>
    <w:p>
      <w:pPr>
        <w:pStyle w:val="BodyText"/>
      </w:pPr>
      <w:r>
        <w:t xml:space="preserve">3,208</w:t>
      </w:r>
    </w:p>
    <w:p>
      <w:pPr>
        <w:pStyle w:val="BodyText"/>
      </w:pPr>
      <w:r>
        <w:t xml:space="preserve">1,765</w:t>
      </w:r>
    </w:p>
    <w:p>
      <w:pPr>
        <w:pStyle w:val="BodyText"/>
      </w:pPr>
      <w:r>
        <w:t xml:space="preserve">&gt;&lt; td&gt;+81.8%</w:t>
      </w:r>
    </w:p>
    <w:p>
      <w:pPr>
        <w:pStyle w:val="BodyText"/>
      </w:pPr>
      <w:r>
        <w:t xml:space="preserve">&gt;</w:t>
      </w:r>
    </w:p>
    <w:p>
      <w:pPr>
        <w:pStyle w:val="BodyText"/>
      </w:pPr>
      <w:r>
        <w:t xml:space="preserve">Average Deal Size (Tashkent)</w:t>
      </w:r>
    </w:p>
    <w:p>
      <w:pPr>
        <w:pStyle w:val="BodyText"/>
      </w:pPr>
      <w:r>
        <w:t xml:space="preserve">$24,750</w:t>
      </w:r>
    </w:p>
    <w:p>
      <w:pPr>
        <w:pStyle w:val="BodyText"/>
      </w:pPr>
      <w:r>
        <w:t xml:space="preserve">$17,140</w:t>
      </w:r>
    </w:p>
    <w:p>
      <w:pPr>
        <w:pStyle w:val="BodyText"/>
      </w:pPr>
      <w:r>
        <w:t xml:space="preserve">+44.3%</w:t>
      </w:r>
    </w:p>
    <w:p>
      <w:pPr>
        <w:pStyle w:val="BodyText"/>
      </w:pPr>
      <w:r>
        <w:t xml:space="preserve">The Q3 sales surge was driven by three critical factors: (1) The launch of our Uzbek-language localized Editor interface in May 2023, (2) Strategic partnerships with Tashkent-based educational institutions including the University of World Economy and Diplomacy, and (3) Government procurement initiatives supporting digital literacy programs. Notably, a $185,000 contract with the Ministry of Culture for nationwide Editor deployment across 75 regional media outlets represents our largest single sale in Uzbekistan Tashkent history.</w:t>
      </w:r>
    </w:p>
    <w:bookmarkEnd w:id="22"/>
    <w:bookmarkStart w:id="23" w:name="X02246fa99f520e5f6f3a0dc10f8cad0b1c78656"/>
    <w:p>
      <w:pPr>
        <w:pStyle w:val="Heading2"/>
      </w:pPr>
      <w:r>
        <w:t xml:space="preserve">IV. Market Analysis &amp; Competitive Positioning</w:t>
      </w:r>
    </w:p>
    <w:p>
      <w:pPr>
        <w:pStyle w:val="FirstParagraph"/>
      </w:pPr>
      <w:r>
        <w:t xml:space="preserve">Our Sales Report identifies critical success factors differentiating Global Editor from competitors (notably Adobe and local alternatives) in the Tashkent market:</w:t>
      </w:r>
    </w:p>
    <w:p>
      <w:pPr>
        <w:numPr>
          <w:ilvl w:val="0"/>
          <w:numId w:val="1001"/>
        </w:numPr>
        <w:pStyle w:val="Compact"/>
      </w:pPr>
      <w:r>
        <w:rPr>
          <w:bCs/>
          <w:b/>
        </w:rPr>
        <w:t xml:space="preserve">Cultural Localization:</w:t>
      </w:r>
      <w:r>
        <w:t xml:space="preserve"> </w:t>
      </w:r>
      <w:r>
        <w:t xml:space="preserve">The fully localized Uzbek interface with culturally relevant templates (including national flag color schemes and traditional motifs) increased user adoption by 63% compared to previous non-localized versions.</w:t>
      </w:r>
    </w:p>
    <w:p>
      <w:pPr>
        <w:numPr>
          <w:ilvl w:val="0"/>
          <w:numId w:val="1001"/>
        </w:numPr>
        <w:pStyle w:val="Compact"/>
      </w:pPr>
      <w:r>
        <w:rPr>
          <w:bCs/>
          <w:b/>
        </w:rPr>
        <w:t xml:space="preserve">Offline Functionality:</w:t>
      </w:r>
      <w:r>
        <w:t xml:space="preserve"> </w:t>
      </w:r>
      <w:r>
        <w:t xml:space="preserve">Crucial for Tashkent's variable internet infrastructure, our Editor's offline editing capabilities addressed a key pain point identified in market research across 82% of surveyed businesses.</w:t>
      </w:r>
    </w:p>
    <w:p>
      <w:pPr>
        <w:numPr>
          <w:ilvl w:val="0"/>
          <w:numId w:val="1001"/>
        </w:numPr>
        <w:pStyle w:val="Compact"/>
      </w:pPr>
      <w:r>
        <w:rPr>
          <w:bCs/>
          <w:b/>
        </w:rPr>
        <w:t xml:space="preserve">Government Compliance:</w:t>
      </w:r>
      <w:r>
        <w:t xml:space="preserve"> </w:t>
      </w:r>
      <w:r>
        <w:t xml:space="preserve">Adherence to Uzbekistan's new data localization laws (effective January 2023) positioned Global Editor as the only compliant solution in its price tier for public sector clients.</w:t>
      </w:r>
    </w:p>
    <w:p>
      <w:pPr>
        <w:pStyle w:val="FirstParagraph"/>
      </w:pPr>
      <w:r>
        <w:t xml:space="preserve">Competitor analysis reveals that local alternatives failed to meet enterprise security standards, while international competitors lacked linguistic support. This gap enabled our Editor suite to capture 41% of the Tashkent professional editorial market within nine months of launch – a rate exceeding projections by 230%.</w:t>
      </w:r>
    </w:p>
    <w:bookmarkEnd w:id="23"/>
    <w:bookmarkStart w:id="24" w:name="v.-challenges-strategic-recommendations"/>
    <w:p>
      <w:pPr>
        <w:pStyle w:val="Heading2"/>
      </w:pPr>
      <w:r>
        <w:t xml:space="preserve">V. Challenges &amp; Strategic Recommendations</w:t>
      </w:r>
    </w:p>
    <w:p>
      <w:pPr>
        <w:pStyle w:val="FirstParagraph"/>
      </w:pPr>
      <w:r>
        <w:rPr>
          <w:bCs/>
          <w:b/>
        </w:rPr>
        <w:t xml:space="preserve">Key Challenges Identified:</w:t>
      </w:r>
    </w:p>
    <w:p>
      <w:pPr>
        <w:numPr>
          <w:ilvl w:val="0"/>
          <w:numId w:val="1002"/>
        </w:numPr>
        <w:pStyle w:val="Compact"/>
      </w:pPr>
      <w:r>
        <w:t xml:space="preserve">Payment Gateway Integration: Limited local payment options (only 3 of 15 banks in Tashkent supported our standard systems)</w:t>
      </w:r>
    </w:p>
    <w:p>
      <w:pPr>
        <w:numPr>
          <w:ilvl w:val="0"/>
          <w:numId w:val="1002"/>
        </w:numPr>
        <w:pStyle w:val="Compact"/>
      </w:pPr>
      <w:r>
        <w:t xml:space="preserve">Technical Support Scalability: Current support team covers only 40% of Tashkent business hours</w:t>
      </w:r>
    </w:p>
    <w:p>
      <w:pPr>
        <w:numPr>
          <w:ilvl w:val="0"/>
          <w:numId w:val="1002"/>
        </w:numPr>
        <w:pStyle w:val="Compact"/>
      </w:pPr>
      <w:r>
        <w:t xml:space="preserve">Competitor Price Wars: Local software providers reduced prices by 25% following our market entry</w:t>
      </w:r>
    </w:p>
    <w:p>
      <w:pPr>
        <w:pStyle w:val="FirstParagraph"/>
      </w:pPr>
      <w:r>
        <w:rPr>
          <w:bCs/>
          <w:b/>
        </w:rPr>
        <w:t xml:space="preserve">Recommendations for Future Sales Strategy:</w:t>
      </w:r>
    </w:p>
    <w:p>
      <w:pPr>
        <w:numPr>
          <w:ilvl w:val="0"/>
          <w:numId w:val="1003"/>
        </w:numPr>
        <w:pStyle w:val="Compact"/>
      </w:pPr>
      <w:r>
        <w:rPr>
          <w:bCs/>
          <w:b/>
        </w:rPr>
        <w:t xml:space="preserve">Localize Payment Infrastructure:</w:t>
      </w:r>
      <w:r>
        <w:t xml:space="preserve"> </w:t>
      </w:r>
      <w:r>
        <w:t xml:space="preserve">Partner with Tashkent-based fintech firm "PochtaPay" to integrate local payment methods by Q1 2024, projected to increase conversion rates by 35%.</w:t>
      </w:r>
    </w:p>
    <w:p>
      <w:pPr>
        <w:numPr>
          <w:ilvl w:val="0"/>
          <w:numId w:val="1003"/>
        </w:numPr>
        <w:pStyle w:val="Compact"/>
      </w:pPr>
      <w:r>
        <w:rPr>
          <w:bCs/>
          <w:b/>
        </w:rPr>
        <w:t xml:space="preserve">Establish Tashkent Support Hub:</w:t>
      </w:r>
      <w:r>
        <w:t xml:space="preserve"> </w:t>
      </w:r>
      <w:r>
        <w:t xml:space="preserve">Open a dedicated regional support center staffed with Uzbek-speaking engineers – expected to reduce ticket resolution time from 72h to under 18h and boost retention by 28%.</w:t>
      </w:r>
    </w:p>
    <w:p>
      <w:pPr>
        <w:numPr>
          <w:ilvl w:val="0"/>
          <w:numId w:val="1003"/>
        </w:numPr>
        <w:pStyle w:val="Compact"/>
      </w:pPr>
      <w:r>
        <w:rPr>
          <w:bCs/>
          <w:b/>
        </w:rPr>
        <w:t xml:space="preserve">Pricing Tier Expansion:</w:t>
      </w:r>
      <w:r>
        <w:t xml:space="preserve"> </w:t>
      </w:r>
      <w:r>
        <w:t xml:space="preserve">Launch "Editor Lite" (UZS pricing) targeting small media startups, addressing competitor price pressures while maintaining premium positioning for enterprise sales.</w:t>
      </w:r>
    </w:p>
    <w:bookmarkEnd w:id="24"/>
    <w:bookmarkStart w:id="26" w:name="X9a8a519adfc369a612b53220279fbad830381a9"/>
    <w:p>
      <w:pPr>
        <w:pStyle w:val="Heading2"/>
      </w:pPr>
      <w:r>
        <w:t xml:space="preserve">VI. Conclusion: Editor's Strategic Importance in Uzbekistan Tashkent</w:t>
      </w:r>
    </w:p>
    <w:p>
      <w:pPr>
        <w:pStyle w:val="FirstParagraph"/>
      </w:pPr>
      <w:r>
        <w:t xml:space="preserve">This Sales Report conclusively demonstrates that Uzbekistan Tashkent has evolved from a nascent market to a high-growth strategic priority for our Global Editor product suite. The 147% YoY sales growth and first-mover advantage in localized editorial technology position us for sustainable dominance in Central Asia's emerging digital economy.</w:t>
      </w:r>
    </w:p>
    <w:p>
      <w:pPr>
        <w:pStyle w:val="BodyText"/>
      </w:pPr>
      <w:r>
        <w:t xml:space="preserve">As Uzbekistan accelerates its digital transformation under the "Smart Tashkent" initiative, our Editor solutions are uniquely positioned to serve as the foundational content creation platform for government agencies, educational institutions, and creative enterprises. The current momentum creates an opportunity to achieve 200% market share in professional editorial tools within Tashkent by Q2 2024 – a target that would make this Sales Report landmark documentation of our regional expansion strategy.</w:t>
      </w:r>
    </w:p>
    <w:p>
      <w:pPr>
        <w:pStyle w:val="BodyText"/>
      </w:pPr>
      <w:r>
        <w:t xml:space="preserve">Recommendation: Allocate $1.8M budget for Tashkent-specific growth initiatives outlined above, with ROI projected at 375% within 18 months based on current market velocity. This investment will solidify Editor's position as the preferred editorial platform across Uzbekistan and create a replicable model for other CIS markets.</w:t>
      </w:r>
    </w:p>
    <w:p>
      <w:pPr>
        <w:pStyle w:val="BodyText"/>
      </w:pPr>
      <w:r>
        <w:rPr>
          <w:bCs/>
          <w:b/>
        </w:rPr>
        <w:t xml:space="preserve">Prepared By:</w:t>
      </w:r>
      <w:r>
        <w:t xml:space="preserve"> </w:t>
      </w:r>
      <w:r>
        <w:t xml:space="preserve">Global Sales Analytics Division</w:t>
      </w:r>
      <w:r>
        <w:br/>
      </w:r>
      <w:r>
        <w:rPr>
          <w:bCs/>
          <w:b/>
        </w:rPr>
        <w:t xml:space="preserve">Confidential:</w:t>
      </w:r>
      <w:r>
        <w:t xml:space="preserve"> </w:t>
      </w:r>
      <w:r>
        <w:t xml:space="preserve">This Sales Report contains proprietary market insights exclusively for internal strategic use in Uzbekistan Tashkent operations.</w:t>
      </w:r>
    </w:p>
    <w:bookmarkStart w:id="25" w:name="Xb629151ea1edcd976f7d7992416e60bd0c5bd77"/>
    <w:p>
      <w:pPr>
        <w:pStyle w:val="Heading3"/>
      </w:pPr>
      <w:r>
        <w:t xml:space="preserve">Sales Report End | Editor Market Performance Data | Uzbekistan Tashkent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Editor Sales Performance Report: Uzbekistan Tashkent Market Analysis</dc:title>
  <dc:creator/>
  <dc:language>en</dc:language>
  <cp:keywords/>
  <dcterms:created xsi:type="dcterms:W3CDTF">2026-07-23T11:39:23Z</dcterms:created>
  <dcterms:modified xsi:type="dcterms:W3CDTF">2026-07-23T11:39:23Z</dcterms:modified>
</cp:coreProperties>
</file>

<file path=docProps/custom.xml><?xml version="1.0" encoding="utf-8"?>
<Properties xmlns="http://schemas.openxmlformats.org/officeDocument/2006/custom-properties" xmlns:vt="http://schemas.openxmlformats.org/officeDocument/2006/docPropsVTypes"/>
</file>