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Analysis</w:t>
      </w:r>
    </w:p>
    <w:bookmarkStart w:id="29" w:name="Xf7abedf463d3b6fbcaf814db2668c5e6da06b82"/>
    <w:p>
      <w:pPr>
        <w:pStyle w:val="Heading1"/>
      </w:pPr>
      <w:r>
        <w:t xml:space="preserve">Sales Report: Education Administrator Performance in Australia Brisbane Educational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Brisbane Education Leadership Council</w:t>
      </w:r>
      <w:r>
        <w:br/>
      </w:r>
      <w:r>
        <w:rPr>
          <w:bCs/>
          <w:b/>
        </w:rPr>
        <w:t xml:space="preserve">Report Period:</w:t>
      </w:r>
      <w:r>
        <w:t xml:space="preserve"> </w:t>
      </w:r>
      <w:r>
        <w:t xml:space="preserve">Q3 2023</w:t>
      </w:r>
    </w:p>
    <w:p>
      <w:pPr>
        <w:pStyle w:val="BodyText"/>
      </w:pPr>
      <w:r>
        <w:t xml:space="preserve">Executive Summary</w:t>
      </w:r>
    </w:p>
    <w:p>
      <w:pPr>
        <w:pStyle w:val="BodyText"/>
      </w:pPr>
      <w:r>
        <w:t xml:space="preserve">This comprehensive Sales Report details the operational and strategic performance of Education Administrators across key educational institutions in Australia Brisbane. The analysis reveals a 14.7% year-on-year growth in student enrollment metrics directly attributable to enhanced administrative strategies, positioning Brisbane as a leading hub for innovative education management within Australia. This document serves as a critical benchmark for optimizing sales-driven administrative excellence in our region.</w:t>
      </w:r>
    </w:p>
    <w:bookmarkStart w:id="20" w:name="X1a477a4b90a97d5444339741c6126760077b2d8"/>
    <w:p>
      <w:pPr>
        <w:pStyle w:val="Heading2"/>
      </w:pPr>
      <w:r>
        <w:t xml:space="preserve">Market Context: Brisbane's Education Landscape</w:t>
      </w:r>
    </w:p>
    <w:p>
      <w:pPr>
        <w:pStyle w:val="FirstParagraph"/>
      </w:pPr>
      <w:r>
        <w:t xml:space="preserve">As the capital of Queensland and Australia's third-largest city, Brisbane hosts over 1,200 educational institutions including K-12 schools, TAFEs, and universities. The sector represents a $4.8 billion economic engine for South East Queensland. Current market dynamics demand Education Administrators who can bridge sales acumen with operational efficiency—particularly in attracting international students and securing government funding streams.</w:t>
      </w:r>
    </w:p>
    <w:bookmarkEnd w:id="20"/>
    <w:bookmarkStart w:id="21" w:name="key-sales-performance-metrics-q3-2023"/>
    <w:p>
      <w:pPr>
        <w:pStyle w:val="Heading2"/>
      </w:pPr>
      <w:r>
        <w:t xml:space="preserve">Key Sales Performance Metrics (Q3 2023)</w:t>
      </w:r>
    </w:p>
    <w:p>
      <w:pPr>
        <w:pStyle w:val="FirstParagraph"/>
      </w:pPr>
      <w:r>
        <w:t xml:space="preserve">KPI</w:t>
      </w:r>
    </w:p>
    <w:p>
      <w:pPr>
        <w:pStyle w:val="BodyText"/>
      </w:pPr>
      <w:r>
        <w:t xml:space="preserve">Q3 2023 Result</w:t>
      </w:r>
    </w:p>
    <w:p>
      <w:pPr>
        <w:pStyle w:val="BodyText"/>
      </w:pPr>
      <w:r>
        <w:t xml:space="preserve">YoY Change</w:t>
      </w:r>
    </w:p>
    <w:p>
      <w:pPr>
        <w:pStyle w:val="BodyText"/>
      </w:pPr>
      <w:r>
        <w:t xml:space="preserve">Industry Benchmark (Australia)</w:t>
      </w:r>
    </w:p>
    <w:p>
      <w:pPr>
        <w:pStyle w:val="BodyText"/>
      </w:pPr>
      <w:r>
        <w:t xml:space="preserve">New Student Enrollment Rate</w:t>
      </w:r>
    </w:p>
    <w:p>
      <w:pPr>
        <w:pStyle w:val="BodyText"/>
      </w:pPr>
      <w:r>
        <w:t xml:space="preserve">18.3%</w:t>
      </w:r>
    </w:p>
    <w:p>
      <w:pPr>
        <w:pStyle w:val="BodyText"/>
      </w:pPr>
      <w:r>
        <w:t xml:space="preserve">+5.2%</w:t>
      </w:r>
    </w:p>
    <w:p>
      <w:pPr>
        <w:pStyle w:val="BodyText"/>
      </w:pPr>
      <w:r>
        <w:t xml:space="preserve">13.1%</w:t>
      </w:r>
    </w:p>
    <w:p>
      <w:pPr>
        <w:pStyle w:val="BodyText"/>
      </w:pPr>
      <w:r>
        <w:t xml:space="preserve">Retention Rate (Year 1)</w:t>
      </w:r>
    </w:p>
    <w:p>
      <w:pPr>
        <w:pStyle w:val="BodyText"/>
      </w:pPr>
      <w:r>
        <w:t xml:space="preserve">92.7%</w:t>
      </w:r>
    </w:p>
    <w:p>
      <w:pPr>
        <w:pStyle w:val="BodyText"/>
      </w:pPr>
      <w:r>
        <w:t xml:space="preserve">+4.8%</w:t>
      </w:r>
    </w:p>
    <w:p>
      <w:pPr>
        <w:pStyle w:val="BodyText"/>
      </w:pPr>
      <w:r>
        <w:t xml:space="preserve">87.9%</w:t>
      </w:r>
    </w:p>
    <w:p>
      <w:pPr>
        <w:pStyle w:val="BodyText"/>
      </w:pPr>
      <w:r>
        <w:t xml:space="preserve">Funding &amp; Partnership Growth</w:t>
      </w:r>
    </w:p>
    <w:p>
      <w:pPr>
        <w:pStyle w:val="BodyText"/>
      </w:pPr>
      <w:r>
        <w:t xml:space="preserve">Government Grant Acquisition</w:t>
      </w:r>
    </w:p>
    <w:p>
      <w:pPr>
        <w:pStyle w:val="BodyText"/>
      </w:pPr>
      <w:r>
        <w:t xml:space="preserve">$2.1M</w:t>
      </w:r>
    </w:p>
    <w:p>
      <w:pPr>
        <w:pStyle w:val="BodyText"/>
      </w:pPr>
      <w:r>
        <w:t xml:space="preserve">+22.3%</w:t>
      </w:r>
    </w:p>
    <w:p>
      <w:pPr>
        <w:pStyle w:val="BodyText"/>
      </w:pPr>
      <w:r>
        <w:t xml:space="preserve">$1.7M</w:t>
      </w:r>
    </w:p>
    <w:p>
      <w:pPr>
        <w:pStyle w:val="BodyText"/>
      </w:pPr>
      <w:r>
        <w:t xml:space="preserve">Industry Partnership Revenue</w:t>
      </w:r>
    </w:p>
    <w:p>
      <w:pPr>
        <w:pStyle w:val="BodyText"/>
      </w:pPr>
      <w:r>
        <w:t xml:space="preserve">&lt;</w:t>
      </w:r>
    </w:p>
    <w:p>
      <w:pPr>
        <w:pStyle w:val="BodyText"/>
      </w:pPr>
      <w:r>
        <w:t xml:space="preserve">$850K</w:t>
      </w:r>
    </w:p>
    <w:p>
      <w:pPr>
        <w:pStyle w:val="BodyText"/>
      </w:pPr>
      <w:r>
        <w:t xml:space="preserve">&lt;</w:t>
      </w:r>
    </w:p>
    <w:p>
      <w:pPr>
        <w:pStyle w:val="BodyText"/>
      </w:pPr>
      <w:r>
        <w:t xml:space="preserve">+34.6%</w:t>
      </w:r>
    </w:p>
    <w:p>
      <w:pPr>
        <w:pStyle w:val="BodyText"/>
      </w:pPr>
      <w:r>
        <w:t xml:space="preserve">$630K</w:t>
      </w:r>
    </w:p>
    <w:p>
      <w:pPr>
        <w:pStyle w:val="BodyText"/>
      </w:pPr>
      <w:r>
        <w:t xml:space="preserve">The Education Administrator team in Brisbane has exceeded national benchmarks by 27-41% across critical sales indicators. This success stems from data-driven enrollment strategies, streamlined international student onboarding, and targeted corporate partnership development—directly influencing the institution's revenue streams.</w:t>
      </w:r>
    </w:p>
    <w:bookmarkEnd w:id="21"/>
    <w:bookmarkStart w:id="25" w:name="X400c49b2cd375ea6e7b916577de4697b831ee04"/>
    <w:p>
      <w:pPr>
        <w:pStyle w:val="Heading2"/>
      </w:pPr>
      <w:r>
        <w:t xml:space="preserve">Strategic Analysis: Sales Drivers in Brisbane</w:t>
      </w:r>
    </w:p>
    <w:bookmarkStart w:id="22" w:name="X9469b89335aa730cbe76c14d6ea0dae0e9bc5b1"/>
    <w:p>
      <w:pPr>
        <w:pStyle w:val="Heading3"/>
      </w:pPr>
      <w:r>
        <w:t xml:space="preserve">1. International Student Recruitment (34% of Growth)</w:t>
      </w:r>
    </w:p>
    <w:p>
      <w:pPr>
        <w:pStyle w:val="FirstParagraph"/>
      </w:pPr>
      <w:r>
        <w:t xml:space="preserve">Brisbane-based Education Administrators implemented AI-powered CRM systems to track student journeys from inquiry to enrollment. This resulted in a 67% reduction in lead conversion time and secured partnerships with 28+ overseas education agents. The "Brisbane Pathway Program" (launched Q1 2023) contributed $1.4M in new revenue through customized visa support services—a first for Australia Brisbane institutions.</w:t>
      </w:r>
    </w:p>
    <w:bookmarkEnd w:id="22"/>
    <w:bookmarkStart w:id="23" w:name="government-funding-optimization"/>
    <w:p>
      <w:pPr>
        <w:pStyle w:val="Heading3"/>
      </w:pPr>
      <w:r>
        <w:t xml:space="preserve">2. Government Funding Optimization</w:t>
      </w:r>
    </w:p>
    <w:p>
      <w:pPr>
        <w:pStyle w:val="FirstParagraph"/>
      </w:pPr>
      <w:r>
        <w:t xml:space="preserve">Administrators secured Queensland Government's "Future Skills Fund" (total $4.6M) by aligning proposals with Brisbane's Strategic Economic Plan 2030. This initiative now supports 1,150 scholarships across STEM and vocational education—demonstrating how Education Administrators directly drive sales through policy alignment.</w:t>
      </w:r>
    </w:p>
    <w:bookmarkEnd w:id="23"/>
    <w:bookmarkStart w:id="24" w:name="community-engagement-retention"/>
    <w:p>
      <w:pPr>
        <w:pStyle w:val="Heading3"/>
      </w:pPr>
      <w:r>
        <w:t xml:space="preserve">3. Community Engagement &amp; Retention</w:t>
      </w:r>
    </w:p>
    <w:p>
      <w:pPr>
        <w:pStyle w:val="FirstParagraph"/>
      </w:pPr>
      <w:r>
        <w:t xml:space="preserve">Implementation of the "Brisbane School Family Hub" (a digital platform for parent-teacher communication) increased parental engagement by 89% and reduced voluntary student attrition by 21%. This retention-focused sales approach has become a regional differentiator, with three Brisbane schools now featured in national case studies.</w:t>
      </w:r>
    </w:p>
    <w:bookmarkEnd w:id="24"/>
    <w:bookmarkEnd w:id="25"/>
    <w:bookmarkStart w:id="26" w:name="challenges-competitive-landscape"/>
    <w:p>
      <w:pPr>
        <w:pStyle w:val="Heading2"/>
      </w:pPr>
      <w:r>
        <w:t xml:space="preserve">Challenges &amp; Competitive Landscape</w:t>
      </w:r>
    </w:p>
    <w:p>
      <w:pPr>
        <w:pStyle w:val="FirstParagraph"/>
      </w:pPr>
      <w:r>
        <w:t xml:space="preserve">Despite strong performance, Brisbane faces unique challenges requiring specialized Education Administrator expertise:</w:t>
      </w:r>
    </w:p>
    <w:p>
      <w:pPr>
        <w:numPr>
          <w:ilvl w:val="0"/>
          <w:numId w:val="1001"/>
        </w:numPr>
        <w:pStyle w:val="Compact"/>
      </w:pPr>
      <w:r>
        <w:rPr>
          <w:bCs/>
          <w:b/>
        </w:rPr>
        <w:t xml:space="preserve">Infrastructure Constraints:</w:t>
      </w:r>
      <w:r>
        <w:t xml:space="preserve"> </w:t>
      </w:r>
      <w:r>
        <w:t xml:space="preserve">32% of institutions report outdated enrollment management systems hindering sales efficiency. Only 19% use integrated CRM platforms (vs. 47% in Sydney).</w:t>
      </w:r>
    </w:p>
    <w:p>
      <w:pPr>
        <w:numPr>
          <w:ilvl w:val="0"/>
          <w:numId w:val="1001"/>
        </w:numPr>
        <w:pStyle w:val="Compact"/>
      </w:pPr>
      <w:r>
        <w:rPr>
          <w:bCs/>
          <w:b/>
        </w:rPr>
        <w:t xml:space="preserve">Workforce Shortages:</w:t>
      </w:r>
      <w:r>
        <w:t xml:space="preserve"> </w:t>
      </w:r>
      <w:r>
        <w:t xml:space="preserve">Queensland faces a 17% deficit in qualified Education Administrators, driving up recruitment costs by 28% year-on-year.</w:t>
      </w:r>
    </w:p>
    <w:p>
      <w:pPr>
        <w:numPr>
          <w:ilvl w:val="0"/>
          <w:numId w:val="1001"/>
        </w:numPr>
        <w:pStyle w:val="Compact"/>
      </w:pPr>
      <w:r>
        <w:rPr>
          <w:bCs/>
          <w:b/>
        </w:rPr>
        <w:t xml:space="preserve">Regulatory Complexity:</w:t>
      </w:r>
      <w:r>
        <w:t xml:space="preserve"> </w:t>
      </w:r>
      <w:r>
        <w:t xml:space="preserve">NAPLAN compliance requirements demand specialized administrative knowledge that impacts sales cycle timelines.</w:t>
      </w:r>
    </w:p>
    <w:bookmarkEnd w:id="26"/>
    <w:bookmarkStart w:id="27" w:name="X7a08ea3c8c2893370ab94fba0e01db2ca8f9ff8"/>
    <w:p>
      <w:pPr>
        <w:pStyle w:val="Heading2"/>
      </w:pPr>
      <w:r>
        <w:t xml:space="preserve">Recommendations for Enhanced Sales Performance</w:t>
      </w:r>
    </w:p>
    <w:p>
      <w:pPr>
        <w:pStyle w:val="FirstParagraph"/>
      </w:pPr>
      <w:r>
        <w:rPr>
          <w:bCs/>
          <w:b/>
        </w:rPr>
        <w:t xml:space="preserve">1. Technology Investment Prioritization</w:t>
      </w:r>
    </w:p>
    <w:p>
      <w:pPr>
        <w:pStyle w:val="BodyText"/>
      </w:pPr>
      <w:r>
        <w:t xml:space="preserve">Brisbane institutions must adopt unified CRM systems to connect enrollment, finance, and student experience data. We recommend a phased rollout of cloud-based platforms (e.g., PowerSchool) with mandatory training for Education Administrators—projected to boost sales conversions by 35% within 18 months.</w:t>
      </w:r>
    </w:p>
    <w:p>
      <w:pPr>
        <w:pStyle w:val="BodyText"/>
      </w:pPr>
      <w:r>
        <w:rPr>
          <w:bCs/>
          <w:b/>
        </w:rPr>
        <w:t xml:space="preserve">2. Brisbane-Specific Talent Development</w:t>
      </w:r>
    </w:p>
    <w:p>
      <w:pPr>
        <w:pStyle w:val="BodyText"/>
      </w:pPr>
      <w:r>
        <w:t xml:space="preserve">Establish a "Brisbane Education Administrator Certification" program through Griffith University and TAFE Queensland. This would standardize skills in local regulatory frameworks (e.g., Queensland Department of Education guidelines) and position Brisbane as Australia's talent hub for education sales management.</w:t>
      </w:r>
    </w:p>
    <w:p>
      <w:pPr>
        <w:pStyle w:val="BodyText"/>
      </w:pPr>
      <w:r>
        <w:rPr>
          <w:bCs/>
          <w:b/>
        </w:rPr>
        <w:t xml:space="preserve">3. Strategic Partnership Expansion</w:t>
      </w:r>
    </w:p>
    <w:p>
      <w:pPr>
        <w:pStyle w:val="BodyText"/>
      </w:pPr>
      <w:r>
        <w:t xml:space="preserve">Target Brisbane-based industry partners (e.g., Rio Tinto, Qantas) for sponsored programs. Current partnership revenue ($850K) represents just 12% of potential—scaling this could unlock $2.7M annually through apprenticeship pipelines.</w:t>
      </w:r>
    </w:p>
    <w:bookmarkEnd w:id="27"/>
    <w:bookmarkStart w:id="28" w:name="conclusion-the-brisbane-advantage"/>
    <w:p>
      <w:pPr>
        <w:pStyle w:val="Heading2"/>
      </w:pPr>
      <w:r>
        <w:t xml:space="preserve">Conclusion: The Brisbane Advantage</w:t>
      </w:r>
    </w:p>
    <w:p>
      <w:pPr>
        <w:pStyle w:val="FirstParagraph"/>
      </w:pPr>
      <w:r>
        <w:t xml:space="preserve">This Sales Report confirms that Education Administrators in Australia Brisbane are not merely operational roles but strategic revenue drivers. Our Q3 results demonstrate how administrative excellence directly translates to market leadership—with Brisbane institutions outperforming national averages by 20-45% in sales-critical metrics.</w:t>
      </w:r>
    </w:p>
    <w:p>
      <w:pPr>
        <w:pStyle w:val="BodyText"/>
      </w:pPr>
      <w:r>
        <w:t xml:space="preserve">As the education sector evolves toward greater commercialization, the role of Education Administrator will become increasingly pivotal. The Brisbane market's unique combination of growth potential, government support (including $1.3B allocated to education infrastructure through 2026), and demographic trends positions it for sustained leadership in Australia.</w:t>
      </w:r>
    </w:p>
    <w:p>
      <w:pPr>
        <w:pStyle w:val="BodyText"/>
      </w:pPr>
      <w:r>
        <w:t xml:space="preserve">For institutions committed to sales excellence, investing in specialized Education Administrator capabilities is no longer optional—it is the cornerstone of Brisbane's educational prosperity. We project 18-22% continued revenue growth for Brisbane-based institutions that implement these strategic recommendations by Q1 2024.</w:t>
      </w:r>
    </w:p>
    <w:p>
      <w:pPr>
        <w:pStyle w:val="BodyText"/>
      </w:pPr>
      <w:r>
        <w:rPr>
          <w:bCs/>
          <w:b/>
        </w:rPr>
        <w:t xml:space="preserve">Prepared By:</w:t>
      </w:r>
      <w:r>
        <w:t xml:space="preserve"> </w:t>
      </w:r>
      <w:r>
        <w:t xml:space="preserve">Queensland Education Sales Intelligence Unit</w:t>
      </w:r>
      <w:r>
        <w:br/>
      </w:r>
      <w:r>
        <w:rPr>
          <w:bCs/>
          <w:b/>
        </w:rPr>
        <w:t xml:space="preserve">Contact:</w:t>
      </w:r>
      <w:r>
        <w:t xml:space="preserve"> </w:t>
      </w:r>
      <w:r>
        <w:t xml:space="preserve">enquiries@qleducationsales.org.au | +61 7 3385 9000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Brisbane Market Analysis</dc:title>
  <dc:creator/>
  <dc:language>en</dc:language>
  <cp:keywords/>
  <dcterms:created xsi:type="dcterms:W3CDTF">2026-07-21T10:39:52Z</dcterms:created>
  <dcterms:modified xsi:type="dcterms:W3CDTF">2026-07-21T10:39:52Z</dcterms:modified>
</cp:coreProperties>
</file>

<file path=docProps/custom.xml><?xml version="1.0" encoding="utf-8"?>
<Properties xmlns="http://schemas.openxmlformats.org/officeDocument/2006/custom-properties" xmlns:vt="http://schemas.openxmlformats.org/officeDocument/2006/docPropsVTypes"/>
</file>