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Australia</w:t>
      </w:r>
    </w:p>
    <w:bookmarkStart w:id="31" w:name="X9c724bd6cf87abe20ec8a2bc1b4ee9fda16823e"/>
    <w:p>
      <w:pPr>
        <w:pStyle w:val="Heading1"/>
      </w:pPr>
      <w:r>
        <w:t xml:space="preserve">Quarterly Sales Report: Education Administrator Solutions in Melbourne,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National Sales Division - Education Sector</w:t>
      </w:r>
    </w:p>
    <w:bookmarkStart w:id="20" w:name="i.-executive-summary"/>
    <w:p>
      <w:pPr>
        <w:pStyle w:val="Heading2"/>
      </w:pPr>
      <w:r>
        <w:t xml:space="preserve">I. Executive Summary</w:t>
      </w:r>
    </w:p>
    <w:p>
      <w:pPr>
        <w:pStyle w:val="FirstParagraph"/>
      </w:pPr>
      <w:r>
        <w:t xml:space="preserve">This comprehensive Sales Report details the performance of our education technology solutions targeting Education Administrators across Melbourne, Australia. The quarter ending September 30, 2023, demonstrated exceptional growth in the Victorian education sector, with a 37% increase in new contracts secured specifically for Education Administrator workflows. Our strategic focus on Melbourne's unique educational landscape—comprising over 1,400 schools and tertiary institutions—has positioned us as the preferred vendor for administrative efficiency solutions. This report confirms that our tailored approach to Australia Melbourne's education ecosystem has yielded significant market penetration, with Education Administrators reporting 42% faster enrollment processing and 33% reduced administrative overhead since implementation.</w:t>
      </w:r>
    </w:p>
    <w:bookmarkEnd w:id="20"/>
    <w:bookmarkStart w:id="21" w:name="Xde6cdca35187c5241f00d6d55be9d4ca638af8b"/>
    <w:p>
      <w:pPr>
        <w:pStyle w:val="Heading2"/>
      </w:pPr>
      <w:r>
        <w:t xml:space="preserve">II. Sales Performance Overview: Melbourne, Australia</w:t>
      </w:r>
    </w:p>
    <w:p>
      <w:pPr>
        <w:pStyle w:val="FirstParagraph"/>
      </w:pPr>
      <w:r>
        <w:t xml:space="preserve">As the cultural and educational hub of Australia, Melbourne's education sector represents a $1.8B annual market opportunity for administrators seeking digital transformation. Our sales team achieved $1.2M in new revenue from Education Administrator clients in Q3 2023—exceeding target by 29%. Key highlights include:</w:t>
      </w:r>
    </w:p>
    <w:p>
      <w:pPr>
        <w:pStyle w:val="BodyText"/>
      </w:pPr>
      <w:r>
        <w:rPr>
          <w:bCs/>
          <w:b/>
        </w:rPr>
        <w:t xml:space="preserve">Market Share Growth:</w:t>
      </w:r>
      <w:r>
        <w:t xml:space="preserve"> </w:t>
      </w:r>
      <w:r>
        <w:t xml:space="preserve">Secured contracts with 47 new school districts across Melbourne, increasing our market share among Education Administrators from 18% to 26%</w:t>
      </w:r>
    </w:p>
    <w:p>
      <w:pPr>
        <w:pStyle w:val="BodyText"/>
      </w:pPr>
      <w:r>
        <w:rPr>
          <w:bCs/>
          <w:b/>
        </w:rPr>
        <w:t xml:space="preserve">Key Accounts Closed:</w:t>
      </w:r>
    </w:p>
    <w:p>
      <w:pPr>
        <w:numPr>
          <w:ilvl w:val="0"/>
          <w:numId w:val="1001"/>
        </w:numPr>
        <w:pStyle w:val="Compact"/>
      </w:pPr>
      <w:r>
        <w:t xml:space="preserve">Melbourne Grammar School (K-12): $185k contract for student management system</w:t>
      </w:r>
    </w:p>
    <w:p>
      <w:pPr>
        <w:numPr>
          <w:ilvl w:val="0"/>
          <w:numId w:val="1001"/>
        </w:numPr>
        <w:pStyle w:val="Compact"/>
      </w:pPr>
      <w:r>
        <w:t xml:space="preserve">University of Melbourne Faculty of Education: $320k agreement for staff administration suite</w:t>
      </w:r>
    </w:p>
    <w:p>
      <w:pPr>
        <w:numPr>
          <w:ilvl w:val="0"/>
          <w:numId w:val="1001"/>
        </w:numPr>
        <w:pStyle w:val="Compact"/>
      </w:pPr>
      <w:r>
        <w:t xml:space="preserve">Victoria Department of Education: $475k statewide rollout for 890 schools (Education Administrator focus)</w:t>
      </w:r>
    </w:p>
    <w:bookmarkEnd w:id="21"/>
    <w:bookmarkStart w:id="22" w:name="iii.-australia-melbourne-market-analysis"/>
    <w:p>
      <w:pPr>
        <w:pStyle w:val="Heading2"/>
      </w:pPr>
      <w:r>
        <w:t xml:space="preserve">III. Australia Melbourne Market Analysis</w:t>
      </w:r>
    </w:p>
    <w:p>
      <w:pPr>
        <w:pStyle w:val="FirstParagraph"/>
      </w:pPr>
      <w:r>
        <w:t xml:space="preserve">The Victorian education sector's unique demands directly influence our Sales Report findings. Unlike other Australian states, Melbourne faces:</w:t>
      </w:r>
    </w:p>
    <w:p>
      <w:pPr>
        <w:numPr>
          <w:ilvl w:val="0"/>
          <w:numId w:val="1002"/>
        </w:numPr>
        <w:pStyle w:val="Compact"/>
      </w:pPr>
      <w:r>
        <w:rPr>
          <w:bCs/>
          <w:b/>
        </w:rPr>
        <w:t xml:space="preserve">Diverse Institutional Mix:</w:t>
      </w:r>
      <w:r>
        <w:t xml:space="preserve"> </w:t>
      </w:r>
      <w:r>
        <w:t xml:space="preserve">From government schools to private institutions and vocational colleges, requiring adaptable Education Administrator solutions</w:t>
      </w:r>
    </w:p>
    <w:p>
      <w:pPr>
        <w:numPr>
          <w:ilvl w:val="0"/>
          <w:numId w:val="1002"/>
        </w:numPr>
        <w:pStyle w:val="Compact"/>
      </w:pPr>
      <w:r>
        <w:rPr>
          <w:bCs/>
          <w:b/>
        </w:rPr>
        <w:t xml:space="preserve">Regulatory Complexity:</w:t>
      </w:r>
      <w:r>
        <w:t xml:space="preserve"> </w:t>
      </w:r>
      <w:r>
        <w:t xml:space="preserve">Victorian Curriculum and Assessment Authority (VCAA) mandates necessitate compliance-focused tools for Education Administrators</w:t>
      </w:r>
    </w:p>
    <w:p>
      <w:pPr>
        <w:numPr>
          <w:ilvl w:val="0"/>
          <w:numId w:val="1002"/>
        </w:numPr>
        <w:pStyle w:val="Compact"/>
      </w:pPr>
      <w:r>
        <w:rPr>
          <w:bCs/>
          <w:b/>
        </w:rPr>
        <w:t xml:space="preserve">Sustainability Goals:</w:t>
      </w:r>
      <w:r>
        <w:t xml:space="preserve"> </w:t>
      </w:r>
      <w:r>
        <w:t xml:space="preserve">78% of Melbourne schools now prioritize digital-first operations—aligning perfectly with our cloud-based administrator platforms</w:t>
      </w:r>
    </w:p>
    <w:p>
      <w:pPr>
        <w:pStyle w:val="FirstParagraph"/>
      </w:pPr>
      <w:r>
        <w:t xml:space="preserve">Our competitive analysis shows that while most vendors offer generic solutions, only our platform specifically addresses the daily workflow challenges faced by Education Administrators in Australia Melbourne. The key differentiator is our integration with Victoria's Department of Education's MySchool portal—a critical requirement for 92% of administrators we surveyed.</w:t>
      </w:r>
    </w:p>
    <w:bookmarkEnd w:id="22"/>
    <w:bookmarkStart w:id="23" w:name="Xebb177b626c5bea533302cf241d44a3766cfcc5"/>
    <w:p>
      <w:pPr>
        <w:pStyle w:val="Heading2"/>
      </w:pPr>
      <w:r>
        <w:t xml:space="preserve">IV. Client Success Metrics: Education Administrator Impact</w:t>
      </w:r>
    </w:p>
    <w:p>
      <w:pPr>
        <w:pStyle w:val="FirstParagraph"/>
      </w:pPr>
      <w:r>
        <w:t xml:space="preserve">Quantitative data from Melbourne-based Education Administrators demonstrates transformative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Pre-Implementation (Avg.)</w:t>
            </w:r>
          </w:p>
        </w:tc>
        <w:tc>
          <w:tcPr/>
          <w:p>
            <w:pPr>
              <w:pStyle w:val="Compact"/>
              <w:jc w:val="left"/>
            </w:pPr>
            <w:r>
              <w:t xml:space="preserve">Post-Implementation (Q3 2023)</w:t>
            </w:r>
          </w:p>
        </w:tc>
        <w:tc>
          <w:tcPr/>
          <w:p>
            <w:pPr>
              <w:pStyle w:val="Compact"/>
              <w:jc w:val="left"/>
            </w:pPr>
            <w:r>
              <w:t xml:space="preserve">Improvement</w:t>
            </w:r>
          </w:p>
        </w:tc>
      </w:tr>
      <w:tr>
        <w:tc>
          <w:tcPr/>
          <w:p>
            <w:pPr>
              <w:pStyle w:val="Compact"/>
              <w:jc w:val="left"/>
            </w:pPr>
            <w:r>
              <w:t xml:space="preserve">Enrollment Processing Time</w:t>
            </w:r>
          </w:p>
        </w:tc>
        <w:tc>
          <w:tcPr/>
          <w:p>
            <w:pPr>
              <w:pStyle w:val="Compact"/>
              <w:jc w:val="left"/>
            </w:pPr>
            <w:r>
              <w:t xml:space="preserve">8.7 days</w:t>
            </w:r>
          </w:p>
        </w:tc>
        <w:tc>
          <w:tcPr/>
          <w:p>
            <w:pPr>
              <w:pStyle w:val="Compact"/>
              <w:jc w:val="left"/>
            </w:pPr>
            <w:r>
              <w:t xml:space="preserve">4.1 days</w:t>
            </w:r>
          </w:p>
        </w:tc>
        <w:tc>
          <w:tcPr/>
          <w:p>
            <w:pPr>
              <w:pStyle w:val="Compact"/>
              <w:jc w:val="left"/>
            </w:pPr>
            <w:r>
              <w:t xml:space="preserve">-52%</w:t>
            </w:r>
          </w:p>
        </w:tc>
      </w:tr>
      <w:tr>
        <w:tc>
          <w:tcPr/>
          <w:p>
            <w:pPr>
              <w:pStyle w:val="Compact"/>
              <w:jc w:val="left"/>
            </w:pPr>
            <w:r>
              <w:t xml:space="preserve">Compliance Audit Efficiency</w:t>
            </w:r>
          </w:p>
        </w:tc>
        <w:tc>
          <w:tcPr>
            <w:gridSpan w:val="2"/>
          </w:tcPr>
          <w:p>
            <w:pPr>
              <w:pStyle w:val="Compact"/>
              <w:jc w:val="left"/>
            </w:pPr>
            <w:r>
              <w:t xml:space="preserve">93% of Education Administrators reported 0 audit failures (vs. 67% previously)</w:t>
            </w:r>
          </w:p>
        </w:tc>
        <w:tc>
          <w:tcPr/>
          <w:p>
            <w:pPr>
              <w:pStyle w:val="Compact"/>
            </w:pPr>
          </w:p>
        </w:tc>
      </w:tr>
      <w:tr>
        <w:tc>
          <w:tcPr/>
          <w:p>
            <w:pPr>
              <w:pStyle w:val="Compact"/>
              <w:jc w:val="left"/>
            </w:pPr>
            <w:r>
              <w:t xml:space="preserve">Staff Satisfaction Score</w:t>
            </w:r>
          </w:p>
        </w:tc>
        <w:tc>
          <w:tcPr/>
          <w:p>
            <w:pPr>
              <w:pStyle w:val="Compact"/>
              <w:jc w:val="left"/>
            </w:pPr>
            <w:r>
              <w:t xml:space="preserve">6.2/10</w:t>
            </w:r>
          </w:p>
        </w:tc>
        <w:tc>
          <w:tcPr/>
          <w:p>
            <w:pPr>
              <w:pStyle w:val="Compact"/>
              <w:jc w:val="left"/>
            </w:pPr>
            <w:r>
              <w:t xml:space="preserve">8.9/10</w:t>
            </w:r>
          </w:p>
        </w:tc>
        <w:tc>
          <w:tcPr/>
          <w:p>
            <w:pPr>
              <w:pStyle w:val="Compact"/>
              <w:jc w:val="left"/>
            </w:pPr>
            <w:r>
              <w:t xml:space="preserve">+43%</w:t>
            </w:r>
          </w:p>
        </w:tc>
      </w:tr>
    </w:tbl>
    <w:p>
      <w:pPr>
        <w:pStyle w:val="BodyText"/>
      </w:pPr>
      <w:r>
        <w:t xml:space="preserve">*Data sourced from Melbourne Education Administrator satisfaction survey (N=247 respondents)</w:t>
      </w:r>
    </w:p>
    <w:bookmarkEnd w:id="23"/>
    <w:bookmarkStart w:id="27" w:name="Xc88979519bee3e533a8a66a0b9389b81dc92d45"/>
    <w:p>
      <w:pPr>
        <w:pStyle w:val="Heading2"/>
      </w:pPr>
      <w:r>
        <w:t xml:space="preserve">V. Strategic Insights for Australia Melbourne Market</w:t>
      </w:r>
    </w:p>
    <w:p>
      <w:pPr>
        <w:pStyle w:val="FirstParagraph"/>
      </w:pPr>
      <w:r>
        <w:t xml:space="preserve">Our Sales Report reveals three critical trends shaping the Education Administrator landscape in Melbourne:</w:t>
      </w:r>
    </w:p>
    <w:bookmarkStart w:id="24" w:name="a.-the-digital-transformation-imperative"/>
    <w:p>
      <w:pPr>
        <w:pStyle w:val="Heading3"/>
      </w:pPr>
      <w:r>
        <w:t xml:space="preserve">A. The Digital Transformation Imperative</w:t>
      </w:r>
    </w:p>
    <w:p>
      <w:pPr>
        <w:pStyle w:val="FirstParagraph"/>
      </w:pPr>
      <w:r>
        <w:t xml:space="preserve">With Victorian government funding mandating digital administration by 2025, Education Administrators are prioritizing solutions that integrate with existing systems. Our platform's API compatibility with Melbourne school management ecosystems (e.g., Compass, PowerSchool) was cited as the #1 purchase driver in 89% of new contracts.</w:t>
      </w:r>
    </w:p>
    <w:bookmarkEnd w:id="24"/>
    <w:bookmarkStart w:id="25" w:name="X119aec89d1cf94c22b74a498c5a38c9967a19ea"/>
    <w:p>
      <w:pPr>
        <w:pStyle w:val="Heading3"/>
      </w:pPr>
      <w:r>
        <w:t xml:space="preserve">B. The Rise of Data-Driven Administration</w:t>
      </w:r>
    </w:p>
    <w:p>
      <w:pPr>
        <w:pStyle w:val="FirstParagraph"/>
      </w:pPr>
      <w:r>
        <w:t xml:space="preserve">Education Administrators now require predictive analytics for student retention and resource allocation—capabilities our Melbourne-based sales team successfully positioned during demos. The University of Melbourne's Faculty of Education implemented our analytics module, reducing at-risk student identification time by 67%.</w:t>
      </w:r>
    </w:p>
    <w:bookmarkEnd w:id="25"/>
    <w:bookmarkStart w:id="26" w:name="c.-sustainability-as-a-core-metric"/>
    <w:p>
      <w:pPr>
        <w:pStyle w:val="Heading3"/>
      </w:pPr>
      <w:r>
        <w:t xml:space="preserve">C. Sustainability as a Core Metric</w:t>
      </w:r>
    </w:p>
    <w:p>
      <w:pPr>
        <w:pStyle w:val="FirstParagraph"/>
      </w:pPr>
      <w:r>
        <w:t xml:space="preserve">As part of Victoria's Climate Action Plan, 64% of Melbourne schools now require administrators to track carbon footprints. Our solution's built-in sustainability reporting module generated $210k in new sales during Q3—proving that aligning with Australia Melbourne's environmental priorities drives adoption.</w:t>
      </w:r>
    </w:p>
    <w:bookmarkEnd w:id="26"/>
    <w:bookmarkEnd w:id="27"/>
    <w:bookmarkStart w:id="28" w:name="vi.-challenges-mitigation-strategies"/>
    <w:p>
      <w:pPr>
        <w:pStyle w:val="Heading2"/>
      </w:pPr>
      <w:r>
        <w:t xml:space="preserve">VI. Challenges &amp; Mitigation Strategies</w:t>
      </w:r>
    </w:p>
    <w:p>
      <w:pPr>
        <w:pStyle w:val="FirstParagraph"/>
      </w:pPr>
      <w:r>
        <w:t xml:space="preserve">While growth was strong, we identified key challenges in the Education Administrator sales cycle:</w:t>
      </w:r>
    </w:p>
    <w:p>
      <w:pPr>
        <w:numPr>
          <w:ilvl w:val="0"/>
          <w:numId w:val="1003"/>
        </w:numPr>
        <w:pStyle w:val="Compact"/>
      </w:pPr>
      <w:r>
        <w:rPr>
          <w:bCs/>
          <w:b/>
        </w:rPr>
        <w:t xml:space="preserve">Decision-Maker Complexity:</w:t>
      </w:r>
      <w:r>
        <w:t xml:space="preserve"> </w:t>
      </w:r>
      <w:r>
        <w:t xml:space="preserve">Melbourne schools involve 3-5 stakeholders (Principal, IT Director, Finance Officer). Solution: We now provide tailored pitch decks for each stakeholder role.</w:t>
      </w:r>
    </w:p>
    <w:p>
      <w:pPr>
        <w:numPr>
          <w:ilvl w:val="0"/>
          <w:numId w:val="1003"/>
        </w:numPr>
        <w:pStyle w:val="Compact"/>
      </w:pPr>
      <w:r>
        <w:rPr>
          <w:bCs/>
          <w:b/>
        </w:rPr>
        <w:t xml:space="preserve">Regulatory Changes:</w:t>
      </w:r>
      <w:r>
        <w:t xml:space="preserve"> </w:t>
      </w:r>
      <w:r>
        <w:t xml:space="preserve">VCAA's new data privacy rules caused 12% of deals to stall. Mitigation: Dedicated compliance specialist added to Melbourne sales team (reduced delays by 73%).</w:t>
      </w:r>
    </w:p>
    <w:bookmarkEnd w:id="28"/>
    <w:bookmarkStart w:id="29" w:name="vii.-recommendations-for-next-quarter"/>
    <w:p>
      <w:pPr>
        <w:pStyle w:val="Heading2"/>
      </w:pPr>
      <w:r>
        <w:t xml:space="preserve">VII. Recommendations for Next Quarter</w:t>
      </w:r>
    </w:p>
    <w:p>
      <w:pPr>
        <w:pStyle w:val="FirstParagraph"/>
      </w:pPr>
      <w:r>
        <w:t xml:space="preserve">To capitalize on the momentum in Australia Melbourne's Education Administrator market, we propose:</w:t>
      </w:r>
    </w:p>
    <w:p>
      <w:pPr>
        <w:numPr>
          <w:ilvl w:val="0"/>
          <w:numId w:val="1004"/>
        </w:numPr>
        <w:pStyle w:val="Compact"/>
      </w:pPr>
      <w:r>
        <w:rPr>
          <w:bCs/>
          <w:b/>
        </w:rPr>
        <w:t xml:space="preserve">Expand Victoria School District Partnership Program:</w:t>
      </w:r>
      <w:r>
        <w:t xml:space="preserve"> </w:t>
      </w:r>
      <w:r>
        <w:t xml:space="preserve">Target 30 additional government schools through the Department of Education's "Digital Schools" initiative by Q1 2024.</w:t>
      </w:r>
    </w:p>
    <w:p>
      <w:pPr>
        <w:numPr>
          <w:ilvl w:val="0"/>
          <w:numId w:val="1004"/>
        </w:numPr>
        <w:pStyle w:val="Compact"/>
      </w:pPr>
      <w:r>
        <w:rPr>
          <w:bCs/>
          <w:b/>
        </w:rPr>
        <w:t xml:space="preserve">Develop Melbourne-Specific Compliance Module:</w:t>
      </w:r>
      <w:r>
        <w:t xml:space="preserve"> </w:t>
      </w:r>
      <w:r>
        <w:t xml:space="preserve">Incorporate VCAA's latest reporting requirements to preempt future regulatory changes.</w:t>
      </w:r>
    </w:p>
    <w:p>
      <w:pPr>
        <w:numPr>
          <w:ilvl w:val="0"/>
          <w:numId w:val="1004"/>
        </w:numPr>
        <w:pStyle w:val="Compact"/>
      </w:pPr>
      <w:r>
        <w:rPr>
          <w:bCs/>
          <w:b/>
        </w:rPr>
        <w:t xml:space="preserve">Launch Education Administrator Leadership Forum:</w:t>
      </w:r>
      <w:r>
        <w:t xml:space="preserve"> </w:t>
      </w:r>
      <w:r>
        <w:t xml:space="preserve">Host quarterly in-person events across Melbourne (starting November) to showcase client success stories and gather feedback directly from administrators.</w:t>
      </w:r>
    </w:p>
    <w:bookmarkEnd w:id="29"/>
    <w:bookmarkStart w:id="30" w:name="viii.-conclusion"/>
    <w:p>
      <w:pPr>
        <w:pStyle w:val="Heading2"/>
      </w:pPr>
      <w:r>
        <w:t xml:space="preserve">VIII. Conclusion</w:t>
      </w:r>
    </w:p>
    <w:p>
      <w:pPr>
        <w:pStyle w:val="FirstParagraph"/>
      </w:pPr>
      <w:r>
        <w:t xml:space="preserve">This Sales Report unequivocally demonstrates that our strategy of focusing exclusively on Education Administrator pain points within Australia Melbourne's education ecosystem has generated exceptional results. With Melbourne representing 31% of our total Australian sales and maintaining a 94% client retention rate, we are positioned for sustained growth. The integration of Victorian regulatory frameworks into our solution—not merely as an add-on but as core functionality—has become the cornerstone of our competitive advantage in this critical market.</w:t>
      </w:r>
    </w:p>
    <w:p>
      <w:pPr>
        <w:pStyle w:val="BodyText"/>
      </w:pPr>
      <w:r>
        <w:t xml:space="preserve">As Education Administrators across Melbourne increasingly view technology as essential to their mission (not just a cost center), we will continue refining our approach to deliver solutions that meet the unique demands of Australia's most dynamic education market. The data confirms: When sales strategies prioritize the specific challenges faced by Education Administrators in Melbourne, Australia, success follows naturally.</w:t>
      </w:r>
    </w:p>
    <w:p>
      <w:pPr>
        <w:pStyle w:val="BodyText"/>
      </w:pPr>
      <w:r>
        <w:rPr>
          <w:bCs/>
          <w:b/>
        </w:rPr>
        <w:t xml:space="preserve">Prepared By:</w:t>
      </w:r>
      <w:r>
        <w:t xml:space="preserve"> </w:t>
      </w:r>
      <w:r>
        <w:t xml:space="preserve">Sarah Chen, National Education Sales Director</w:t>
      </w:r>
      <w:r>
        <w:br/>
      </w:r>
      <w:r>
        <w:rPr>
          <w:bCs/>
          <w:b/>
        </w:rPr>
        <w:t xml:space="preserve">Contact:</w:t>
      </w:r>
      <w:r>
        <w:t xml:space="preserve"> </w:t>
      </w:r>
      <w:r>
        <w:t xml:space="preserve">sarah.chen@edusolutions.com.au | +61 3 9000 1234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 Melbourne, Australia</dc:title>
  <dc:creator/>
  <dc:language>en</dc:language>
  <cp:keywords/>
  <dcterms:created xsi:type="dcterms:W3CDTF">2026-07-21T11:16:44Z</dcterms:created>
  <dcterms:modified xsi:type="dcterms:W3CDTF">2026-07-21T11:16:44Z</dcterms:modified>
</cp:coreProperties>
</file>

<file path=docProps/custom.xml><?xml version="1.0" encoding="utf-8"?>
<Properties xmlns="http://schemas.openxmlformats.org/officeDocument/2006/custom-properties" xmlns:vt="http://schemas.openxmlformats.org/officeDocument/2006/docPropsVTypes"/>
</file>