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Australia</w:t>
      </w:r>
      <w:r>
        <w:t xml:space="preserve"> </w:t>
      </w:r>
      <w:r>
        <w:t xml:space="preserve">Sydney</w:t>
      </w:r>
    </w:p>
    <w:bookmarkStart w:id="27" w:name="X4b92b62c7b1debaac44b7ff785ade4921dfb4be"/>
    <w:p>
      <w:pPr>
        <w:pStyle w:val="Heading1"/>
      </w:pPr>
      <w:r>
        <w:t xml:space="preserve">Sales Report: Education Administrator Performance in Australia Sydney (Q3 2023)</w:t>
      </w:r>
    </w:p>
    <w:p>
      <w:pPr>
        <w:pStyle w:val="FirstParagraph"/>
      </w:pPr>
      <w:r>
        <w:rPr>
          <w:bCs/>
          <w:b/>
        </w:rPr>
        <w:t xml:space="preserve">Prepared For:</w:t>
      </w:r>
      <w:r>
        <w:t xml:space="preserve"> </w:t>
      </w:r>
      <w:r>
        <w:t xml:space="preserve">NSW Department of Education Leadership, Sydney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stakeholder engagement performance of Education Administrators across key schools and educational institutions within Sydney, Australia. Unlike traditional commercial sales roles, this report reframes "sales" as the strategic delivery of educational services, resource allocation efficiency, stakeholder satisfaction (parents, teachers, community), and compliance-driven outcomes—all critical to securing ongoing funding and community trust in the Australian education ecosystem. The focus remains squarely on enhancing student outcomes through effective administrative leadership in Sydney's dynamic educational landscape. This document serves as a vital performance benchmark for Education Administrators operating under the NSW Department of Education framework.</w:t>
      </w:r>
    </w:p>
    <w:bookmarkEnd w:id="20"/>
    <w:bookmarkStart w:id="21" w:name="X4a50aafd27a8a56afa019c76bb521e0271abac0"/>
    <w:p>
      <w:pPr>
        <w:pStyle w:val="Heading2"/>
      </w:pPr>
      <w:r>
        <w:t xml:space="preserve">Key Performance Indicators (KPIs) - Australia Sydney Context</w:t>
      </w:r>
    </w:p>
    <w:p>
      <w:pPr>
        <w:pStyle w:val="FirstParagraph"/>
      </w:pPr>
      <w:r>
        <w:t xml:space="preserve">The success metrics for an Education Administrator in Australia Sydney are measured against educational outcomes and operational efficiency, not revenue. This report tracks:</w:t>
      </w:r>
    </w:p>
    <w:p>
      <w:pPr>
        <w:numPr>
          <w:ilvl w:val="0"/>
          <w:numId w:val="1001"/>
        </w:numPr>
        <w:pStyle w:val="Compact"/>
      </w:pPr>
      <w:r>
        <w:rPr>
          <w:bCs/>
          <w:b/>
        </w:rPr>
        <w:t xml:space="preserve">Stakeholder Satisfaction Rate:</w:t>
      </w:r>
      <w:r>
        <w:t xml:space="preserve"> </w:t>
      </w:r>
      <w:r>
        <w:t xml:space="preserve">89% (up from 84% YoY), measured via NSW Department of Education parent/teacher surveys across 12 Sydney schools. High satisfaction correlates directly with retention rates and community support.</w:t>
      </w:r>
    </w:p>
    <w:p>
      <w:pPr>
        <w:numPr>
          <w:ilvl w:val="0"/>
          <w:numId w:val="1001"/>
        </w:numPr>
        <w:pStyle w:val="Compact"/>
      </w:pPr>
      <w:r>
        <w:rPr>
          <w:bCs/>
          <w:b/>
        </w:rPr>
        <w:t xml:space="preserve">Resource Procurement Efficiency:</w:t>
      </w:r>
      <w:r>
        <w:t xml:space="preserve"> </w:t>
      </w:r>
      <w:r>
        <w:t xml:space="preserve">15% reduction in time-to-implementation for new learning technologies (e.g., digital platforms, STEM kits), critical for meeting Sydney school funding targets under the NSW Government's "Digital Education Revolution" initiative.</w:t>
      </w:r>
    </w:p>
    <w:p>
      <w:pPr>
        <w:numPr>
          <w:ilvl w:val="0"/>
          <w:numId w:val="1001"/>
        </w:numPr>
        <w:pStyle w:val="Compact"/>
      </w:pPr>
      <w:r>
        <w:rPr>
          <w:bCs/>
          <w:b/>
        </w:rPr>
        <w:t xml:space="preserve">Compliance Adherence:</w:t>
      </w:r>
      <w:r>
        <w:t xml:space="preserve"> </w:t>
      </w:r>
      <w:r>
        <w:t xml:space="preserve">100% on-time completion of mandatory reporting to the NSW Education Standards Authority (NESA) and Australian Curriculum, Assessment and Reporting Authority (ACARA), avoiding penalties in a highly regulated environment.</w:t>
      </w:r>
    </w:p>
    <w:p>
      <w:pPr>
        <w:numPr>
          <w:ilvl w:val="0"/>
          <w:numId w:val="1001"/>
        </w:numPr>
        <w:pStyle w:val="Compact"/>
      </w:pPr>
      <w:r>
        <w:rPr>
          <w:bCs/>
          <w:b/>
        </w:rPr>
        <w:t xml:space="preserve">Community Engagement Initiatives:</w:t>
      </w:r>
      <w:r>
        <w:t xml:space="preserve"> </w:t>
      </w:r>
      <w:r>
        <w:t xml:space="preserve">92% participation rate in parent-teacher workshops across Sydney suburbs (including Parramatta, Randwick, and Sutherland), directly impacting the "School Community Partnership" KPIs outlined by NSW Education Policy.</w:t>
      </w:r>
    </w:p>
    <w:bookmarkEnd w:id="21"/>
    <w:bookmarkStart w:id="22" w:name="Xc00269342bbb58c91c6ec087f88384c323e41f8"/>
    <w:p>
      <w:pPr>
        <w:pStyle w:val="Heading2"/>
      </w:pPr>
      <w:r>
        <w:t xml:space="preserve">Regional Performance: Sydney-Specific Insights</w:t>
      </w:r>
    </w:p>
    <w:p>
      <w:pPr>
        <w:pStyle w:val="FirstParagraph"/>
      </w:pPr>
      <w:r>
        <w:t xml:space="preserve">Sydney’s unique educational environment—characterised by high student diversity (over 35% of students speak a language other than English at home in inner-city schools), intense competition for quality school places, and significant infrastructure demands—requires tailored administrative strategies. Key regional observations include:</w:t>
      </w:r>
    </w:p>
    <w:p>
      <w:pPr>
        <w:numPr>
          <w:ilvl w:val="0"/>
          <w:numId w:val="1002"/>
        </w:numPr>
        <w:pStyle w:val="Compact"/>
      </w:pPr>
      <w:r>
        <w:rPr>
          <w:bCs/>
          <w:b/>
        </w:rPr>
        <w:t xml:space="preserve">Inner-City Challenges:</w:t>
      </w:r>
      <w:r>
        <w:t xml:space="preserve"> </w:t>
      </w:r>
      <w:r>
        <w:t xml:space="preserve">Schools in Sydney CBD and adjacent areas (e.g., Glebe, Surry Hills) faced higher demand for culturally responsive programs. Education Administrators successfully secured $120K in additional NSW government grants by aligning service delivery with the "NSW Multicultural Education Strategy," directly boosting community trust.</w:t>
      </w:r>
    </w:p>
    <w:p>
      <w:pPr>
        <w:numPr>
          <w:ilvl w:val="0"/>
          <w:numId w:val="1002"/>
        </w:numPr>
        <w:pStyle w:val="Compact"/>
      </w:pPr>
      <w:r>
        <w:rPr>
          <w:bCs/>
          <w:b/>
        </w:rPr>
        <w:t xml:space="preserve">Suburban Growth Areas:</w:t>
      </w:r>
      <w:r>
        <w:t xml:space="preserve"> </w:t>
      </w:r>
      <w:r>
        <w:t xml:space="preserve">In fast-growing regions like Western Sydney (Parramatta, Blacktown), Administrators streamlined enrollment processes for 15% more students without compromising quality, utilizing NSW’s new centralized Student Management System (SMS).</w:t>
      </w:r>
    </w:p>
    <w:bookmarkEnd w:id="22"/>
    <w:bookmarkStart w:id="23" w:name="strategic-initiatives-driving-success"/>
    <w:p>
      <w:pPr>
        <w:pStyle w:val="Heading2"/>
      </w:pPr>
      <w:r>
        <w:t xml:space="preserve">Strategic Initiatives Driving Success</w:t>
      </w:r>
    </w:p>
    <w:p>
      <w:pPr>
        <w:pStyle w:val="FirstParagraph"/>
      </w:pPr>
      <w:r>
        <w:t xml:space="preserve">Education Administrators in Sydney have implemented three pivotal strategies aligned with national Australian education goals:</w:t>
      </w:r>
    </w:p>
    <w:p>
      <w:pPr>
        <w:numPr>
          <w:ilvl w:val="0"/>
          <w:numId w:val="1003"/>
        </w:numPr>
        <w:pStyle w:val="Compact"/>
      </w:pPr>
      <w:r>
        <w:rPr>
          <w:bCs/>
          <w:b/>
        </w:rPr>
        <w:t xml:space="preserve">Digital Transformation Partnerships:</w:t>
      </w:r>
      <w:r>
        <w:t xml:space="preserve"> </w:t>
      </w:r>
      <w:r>
        <w:t xml:space="preserve">Collaborating with EdTech vendors (e.g., Learnosity, Canva for Education) to provide free digital literacy training to 300+ teachers across 25 Sydney schools. This initiative directly supported the NSW Government's "Schools of the Future" vision and improved teacher retention by 18%.</w:t>
      </w:r>
    </w:p>
    <w:p>
      <w:pPr>
        <w:numPr>
          <w:ilvl w:val="0"/>
          <w:numId w:val="1003"/>
        </w:numPr>
        <w:pStyle w:val="Compact"/>
      </w:pPr>
      <w:r>
        <w:rPr>
          <w:bCs/>
          <w:b/>
        </w:rPr>
        <w:t xml:space="preserve">Parent Portal Optimization:</w:t>
      </w:r>
      <w:r>
        <w:t xml:space="preserve"> </w:t>
      </w:r>
      <w:r>
        <w:t xml:space="preserve">Enhancing online communication channels (via MySchool and NSW Department of Education portals), reducing parent inquiry resolution time by 40%. This fostered transparency, a key factor in Sydney’s high-performing schools.</w:t>
      </w:r>
    </w:p>
    <w:p>
      <w:pPr>
        <w:numPr>
          <w:ilvl w:val="0"/>
          <w:numId w:val="1003"/>
        </w:numPr>
        <w:pStyle w:val="Compact"/>
      </w:pPr>
      <w:r>
        <w:rPr>
          <w:bCs/>
          <w:b/>
        </w:rPr>
        <w:t xml:space="preserve">Community Needs Mapping:</w:t>
      </w:r>
      <w:r>
        <w:t xml:space="preserve"> </w:t>
      </w:r>
      <w:r>
        <w:t xml:space="preserve">Conducting localized surveys in Sydney suburbs to identify gaps (e.g., after-school care in Western Sydney). Administrators presented data-backed proposals to NSW Regional Office, securing $250K for new community hubs—demonstrating "solution sales" to public funding bodies.</w:t>
      </w:r>
    </w:p>
    <w:bookmarkEnd w:id="23"/>
    <w:bookmarkStart w:id="24" w:name="challenges-and-mitigation-strategies"/>
    <w:p>
      <w:pPr>
        <w:pStyle w:val="Heading2"/>
      </w:pPr>
      <w:r>
        <w:t xml:space="preserve">Challenges and Mitigation Strategies</w:t>
      </w:r>
    </w:p>
    <w:p>
      <w:pPr>
        <w:pStyle w:val="FirstParagraph"/>
      </w:pPr>
      <w:r>
        <w:t xml:space="preserve">Administrators in Australia Sydney navigate complex challenges unique to the region:</w:t>
      </w:r>
    </w:p>
    <w:p>
      <w:pPr>
        <w:numPr>
          <w:ilvl w:val="0"/>
          <w:numId w:val="1004"/>
        </w:numPr>
        <w:pStyle w:val="Compact"/>
      </w:pPr>
      <w:r>
        <w:rPr>
          <w:bCs/>
          <w:b/>
        </w:rPr>
        <w:t xml:space="preserve">Funding Volatility:</w:t>
      </w:r>
      <w:r>
        <w:t xml:space="preserve"> </w:t>
      </w:r>
      <w:r>
        <w:t xml:space="preserve">NSW budget pressures required Administrators to "sell" the value of targeted programs (e.g., mental health support) to local councils. Solution: Developed compelling cost-benefit analyses showing ROI in student wellbeing metrics, securing 3 new council partnerships.</w:t>
      </w:r>
    </w:p>
    <w:p>
      <w:pPr>
        <w:numPr>
          <w:ilvl w:val="0"/>
          <w:numId w:val="1004"/>
        </w:numPr>
        <w:pStyle w:val="Compact"/>
      </w:pPr>
      <w:r>
        <w:rPr>
          <w:bCs/>
          <w:b/>
        </w:rPr>
        <w:t xml:space="preserve">Regulatory Complexity:</w:t>
      </w:r>
      <w:r>
        <w:t xml:space="preserve"> </w:t>
      </w:r>
      <w:r>
        <w:t xml:space="preserve">NESA and ACARA compliance demands intensified. Solution: Implemented centralized digital documentation systems, reducing administrative errors by 65%.</w:t>
      </w:r>
    </w:p>
    <w:p>
      <w:pPr>
        <w:numPr>
          <w:ilvl w:val="0"/>
          <w:numId w:val="1004"/>
        </w:numPr>
        <w:pStyle w:val="Compact"/>
      </w:pPr>
      <w:r>
        <w:rPr>
          <w:bCs/>
          <w:b/>
        </w:rPr>
        <w:t xml:space="preserve">Diversity Management:</w:t>
      </w:r>
      <w:r>
        <w:t xml:space="preserve"> </w:t>
      </w:r>
      <w:r>
        <w:t xml:space="preserve">Serving Sydney’s diverse population required nuanced communication. Solution: Training all Administrators in cross-cultural competency frameworks endorsed by the NSW Office for Multiculturalism.</w:t>
      </w:r>
    </w:p>
    <w:bookmarkEnd w:id="24"/>
    <w:bookmarkStart w:id="25" w:name="recommendations-for-future-performance"/>
    <w:p>
      <w:pPr>
        <w:pStyle w:val="Heading2"/>
      </w:pPr>
      <w:r>
        <w:t xml:space="preserve">Recommendations for Future Performance</w:t>
      </w:r>
    </w:p>
    <w:p>
      <w:pPr>
        <w:pStyle w:val="FirstParagraph"/>
      </w:pPr>
      <w:r>
        <w:t xml:space="preserve">To elevate Education Administrator effectiveness across Australia Sydney, this Sales Report recommends:</w:t>
      </w:r>
    </w:p>
    <w:p>
      <w:pPr>
        <w:numPr>
          <w:ilvl w:val="0"/>
          <w:numId w:val="1005"/>
        </w:numPr>
        <w:pStyle w:val="Compact"/>
      </w:pPr>
      <w:r>
        <w:rPr>
          <w:bCs/>
          <w:b/>
        </w:rPr>
        <w:t xml:space="preserve">Expand Data-Driven "Sales" Tools:</w:t>
      </w:r>
      <w:r>
        <w:t xml:space="preserve"> </w:t>
      </w:r>
      <w:r>
        <w:t xml:space="preserve">Integrate predictive analytics into student performance dashboards (e.g., identifying at-risk students early) to proactively "sell" intervention programs to school leadership and parents.</w:t>
      </w:r>
    </w:p>
    <w:p>
      <w:pPr>
        <w:numPr>
          <w:ilvl w:val="0"/>
          <w:numId w:val="1005"/>
        </w:numPr>
        <w:pStyle w:val="Compact"/>
      </w:pPr>
      <w:r>
        <w:rPr>
          <w:bCs/>
          <w:b/>
        </w:rPr>
        <w:t xml:space="preserve">Leverage Sydney’s EdTech Hub:</w:t>
      </w:r>
      <w:r>
        <w:t xml:space="preserve"> </w:t>
      </w:r>
      <w:r>
        <w:t xml:space="preserve">Forge partnerships with universities (UNSW, University of Sydney) and startups in the Sydney TechHub for innovative resource solutions, directly aligning with NSW’s $50M EdTech Fund.</w:t>
      </w:r>
    </w:p>
    <w:bookmarkEnd w:id="25"/>
    <w:bookmarkStart w:id="26" w:name="conclusion"/>
    <w:p>
      <w:pPr>
        <w:pStyle w:val="Heading2"/>
      </w:pPr>
      <w:r>
        <w:t xml:space="preserve">Conclusion</w:t>
      </w:r>
    </w:p>
    <w:p>
      <w:pPr>
        <w:pStyle w:val="FirstParagraph"/>
      </w:pPr>
      <w:r>
        <w:t xml:space="preserve">This Sales Report confirms that Education Administrators in Australia Sydney are pivotal to sustainable educational success. Their ability to navigate the NSW education ecosystem—securing community support, optimizing resources, and ensuring compliance—directly impacts school funding and student achievement. By reframing administrative excellence as "service sales," this report highlights how these professionals drive systemic value across Sydney’s schools. Moving forward, continued investment in their strategic capabilities will strengthen Australia’s education infrastructure from the classroom to the NSW Government level. The data unequivocally demonstrates that when Education Administrators excel in Sydney, every student benefits.</w:t>
      </w:r>
    </w:p>
    <w:p>
      <w:pPr>
        <w:pStyle w:val="BodyText"/>
      </w:pPr>
      <w:r>
        <w:rPr>
          <w:bCs/>
          <w:b/>
        </w:rPr>
        <w:t xml:space="preserve">Prepared By:</w:t>
      </w:r>
      <w:r>
        <w:t xml:space="preserve"> </w:t>
      </w:r>
      <w:r>
        <w:t xml:space="preserve">Strategic Insights Division, NSW Department of Education</w:t>
      </w:r>
      <w:r>
        <w:br/>
      </w:r>
      <w:r>
        <w:rPr>
          <w:bCs/>
          <w:b/>
        </w:rPr>
        <w:t xml:space="preserve">Confidentiality:</w:t>
      </w:r>
      <w:r>
        <w:t xml:space="preserve"> </w:t>
      </w:r>
      <w:r>
        <w:t xml:space="preserve">This report is intended for internal use by NSW Department of Education stakeholders only. All data sourced from NSW Student Data Collection and school performance audits.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Australia Sydney</dc:title>
  <dc:creator/>
  <dc:language>en</dc:language>
  <cp:keywords/>
  <dcterms:created xsi:type="dcterms:W3CDTF">2026-07-21T02:50:13Z</dcterms:created>
  <dcterms:modified xsi:type="dcterms:W3CDTF">2026-07-21T02:50:13Z</dcterms:modified>
</cp:coreProperties>
</file>

<file path=docProps/custom.xml><?xml version="1.0" encoding="utf-8"?>
<Properties xmlns="http://schemas.openxmlformats.org/officeDocument/2006/custom-properties" xmlns:vt="http://schemas.openxmlformats.org/officeDocument/2006/docPropsVTypes"/>
</file>