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8" w:name="X8f4f7254b3219cd33df5dd7f7331ac6004a9d4b"/>
    <w:p>
      <w:pPr>
        <w:pStyle w:val="Heading1"/>
      </w:pPr>
      <w:r>
        <w:t xml:space="preserve">Sales Report: Education Administrator Performance Analysis in Bangladesh Dhaka</w:t>
      </w:r>
    </w:p>
    <w:bookmarkStart w:id="27" w:name="Xebb9351f9699ff30d76425bd0a535603f740268"/>
    <w:p>
      <w:pPr>
        <w:pStyle w:val="Heading2"/>
      </w:pPr>
      <w:r>
        <w:t xml:space="preserve">Prepared For: Leadership Team, Educational Institutions of Dhaka, Bangladesh</w:t>
      </w:r>
    </w:p>
    <w:p>
      <w:pPr>
        <w:pStyle w:val="FirstParagraph"/>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comprehensive Sales Report evaluates the performance of our Education Administrator team within Bangladesh's Dhaka metropolitan region. The report details revenue generation, market penetration strategies, and operational challenges specific to Dhaka's unique educational landscape. During the third quarter of 2023, our Education Administrators achieved a remarkable 18.7% year-over-year growth in institutional partnerships and secured contracts worth $1.85 million across primary, secondary, and vocational education segments. This success underscores the critical role of strategic sales management in Bangladesh's rapidly evolving education sector where Dhaka serves as the undisputed epicenter for educational innovation and expansion.</w:t>
      </w:r>
    </w:p>
    <w:bookmarkEnd w:id="20"/>
    <w:bookmarkStart w:id="21" w:name="ii.-sales-performance-highlights"/>
    <w:p>
      <w:pPr>
        <w:pStyle w:val="Heading3"/>
      </w:pPr>
      <w:r>
        <w:t xml:space="preserve">II. Sales Performance Highlights</w:t>
      </w:r>
    </w:p>
    <w:p>
      <w:pPr>
        <w:pStyle w:val="FirstParagraph"/>
      </w:pPr>
      <w:r>
        <w:t xml:space="preserve">Our Education Administrator team in Dhaka demonstrated exceptional market responsiveness through three key initiatives:</w:t>
      </w:r>
    </w:p>
    <w:p>
      <w:pPr>
        <w:numPr>
          <w:ilvl w:val="0"/>
          <w:numId w:val="1001"/>
        </w:numPr>
        <w:pStyle w:val="Compact"/>
      </w:pPr>
      <w:r>
        <w:rPr>
          <w:bCs/>
          <w:b/>
        </w:rPr>
        <w:t xml:space="preserve">Private School Expansion:</w:t>
      </w:r>
      <w:r>
        <w:t xml:space="preserve"> </w:t>
      </w:r>
      <w:r>
        <w:t xml:space="preserve">Secured 12 new contracts with rising private institutions across Dhaka division, including 5 in Mirpur and 3 in Gulshan. These partnerships generated $980,000 in annual revenue through our integrated learning management system (LMS) and teacher training packages.</w:t>
      </w:r>
    </w:p>
    <w:p>
      <w:pPr>
        <w:numPr>
          <w:ilvl w:val="0"/>
          <w:numId w:val="1001"/>
        </w:numPr>
        <w:pStyle w:val="Compact"/>
      </w:pPr>
      <w:r>
        <w:rPr>
          <w:bCs/>
          <w:b/>
        </w:rPr>
        <w:t xml:space="preserve">Vocational Training Partnerships:</w:t>
      </w:r>
      <w:r>
        <w:t xml:space="preserve"> </w:t>
      </w:r>
      <w:r>
        <w:t xml:space="preserve">Collaborated with Bangladesh Technical Education Board to deploy 75+ mobile education units across Dhaka's slums, creating a $420,000 revenue stream through government-funded skill development programs.</w:t>
      </w:r>
    </w:p>
    <w:p>
      <w:pPr>
        <w:numPr>
          <w:ilvl w:val="0"/>
          <w:numId w:val="1001"/>
        </w:numPr>
        <w:pStyle w:val="Compact"/>
      </w:pPr>
      <w:r>
        <w:rPr>
          <w:bCs/>
          <w:b/>
        </w:rPr>
        <w:t xml:space="preserve">University Consortium Development:</w:t>
      </w:r>
      <w:r>
        <w:t xml:space="preserve"> </w:t>
      </w:r>
      <w:r>
        <w:t xml:space="preserve">Forged alliances with 3 major universities (DU, BUET, NSU) for AI-driven student analytics solutions, resulting in $450,000 in contract value and positioning us as the preferred vendor for digital transformation in Dhaka's higher education sector.</w:t>
      </w:r>
    </w:p>
    <w:bookmarkEnd w:id="21"/>
    <w:bookmarkStart w:id="22" w:name="iii.-bangladesh-dhaka-market-analysis"/>
    <w:p>
      <w:pPr>
        <w:pStyle w:val="Heading3"/>
      </w:pPr>
      <w:r>
        <w:t xml:space="preserve">III. Bangladesh Dhaka Market Analysis</w:t>
      </w:r>
    </w:p>
    <w:p>
      <w:pPr>
        <w:pStyle w:val="FirstParagraph"/>
      </w:pPr>
      <w:r>
        <w:t xml:space="preserve">The Dhaka education market presents unique dynamics requiring specialized sales approaches:</w:t>
      </w:r>
    </w:p>
    <w:p>
      <w:pPr>
        <w:pStyle w:val="BodyText"/>
      </w:pPr>
      <w:r>
        <w:rPr>
          <w:bCs/>
          <w:b/>
        </w:rPr>
        <w:t xml:space="preserve">Demographic Advantage:</w:t>
      </w:r>
      <w:r>
        <w:t xml:space="preserve"> </w:t>
      </w:r>
      <w:r>
        <w:t xml:space="preserve">With over 20 million residents, Dhaka houses 65% of Bangladesh's private schools and 43% of tertiary institutions. Our Education Administrators leverage this density to achieve a 37% higher lead conversion rate compared to national averages.</w:t>
      </w:r>
    </w:p>
    <w:p>
      <w:pPr>
        <w:pStyle w:val="BodyText"/>
      </w:pPr>
      <w:r>
        <w:rPr>
          <w:bCs/>
          <w:b/>
        </w:rPr>
        <w:t xml:space="preserve">Policy-Driven Opportunities:</w:t>
      </w:r>
      <w:r>
        <w:t xml:space="preserve"> </w:t>
      </w:r>
      <w:r>
        <w:t xml:space="preserve">The recent National Education Policy (2023) emphasizing digital literacy created immediate sales potential. Our Dhaka-based team capitalized by aligning our "Digital Classrooms" package with the government's $50 million e-learning fund, securing 17 pilot schools within 60 days.</w:t>
      </w:r>
    </w:p>
    <w:p>
      <w:pPr>
        <w:pStyle w:val="BodyText"/>
      </w:pPr>
      <w:r>
        <w:rPr>
          <w:bCs/>
          <w:b/>
        </w:rPr>
        <w:t xml:space="preserve">Competitive Landscape:</w:t>
      </w:r>
      <w:r>
        <w:t xml:space="preserve"> </w:t>
      </w:r>
      <w:r>
        <w:t xml:space="preserve">While local players like BRAC and ASA dominate basic education sales, our Education Administrators differentiated through technical expertise in adaptive learning platforms – a critical gap in Dhaka's market where only 23% of schools currently use AI tools (vs. 68% in Singapore).</w:t>
      </w:r>
    </w:p>
    <w:bookmarkEnd w:id="22"/>
    <w:bookmarkStart w:id="23" w:name="X0b0c0b93f0213161305118dbd23a920ae9a96f8"/>
    <w:p>
      <w:pPr>
        <w:pStyle w:val="Heading3"/>
      </w:pPr>
      <w:r>
        <w:t xml:space="preserve">IV. Key Challenges Faced by Education Administrators</w:t>
      </w:r>
    </w:p>
    <w:p>
      <w:pPr>
        <w:pStyle w:val="FirstParagraph"/>
      </w:pPr>
      <w:r>
        <w:t xml:space="preserve">Operating within Bangladesh Dhaka requires navigating complex constraints:</w:t>
      </w:r>
    </w:p>
    <w:p>
      <w:pPr>
        <w:numPr>
          <w:ilvl w:val="0"/>
          <w:numId w:val="1002"/>
        </w:numPr>
        <w:pStyle w:val="Compact"/>
      </w:pPr>
      <w:r>
        <w:rPr>
          <w:bCs/>
          <w:b/>
        </w:rPr>
        <w:t xml:space="preserve">Cultural Nuances:</w:t>
      </w:r>
      <w:r>
        <w:t xml:space="preserve"> </w:t>
      </w:r>
      <w:r>
        <w:t xml:space="preserve">Decision-making chains involve multiple stakeholders (parents, teachers, local councils). Our Dhaka Education Administrators reduced sales cycles by 28% through culturally tailored presentations addressing parental concerns about "technology disruption" in traditional classrooms.</w:t>
      </w:r>
    </w:p>
    <w:p>
      <w:pPr>
        <w:numPr>
          <w:ilvl w:val="0"/>
          <w:numId w:val="1002"/>
        </w:numPr>
        <w:pStyle w:val="Compact"/>
      </w:pPr>
      <w:r>
        <w:rPr>
          <w:bCs/>
          <w:b/>
        </w:rPr>
        <w:t xml:space="preserve">Infrastructure Limitations:</w:t>
      </w:r>
      <w:r>
        <w:t xml:space="preserve"> </w:t>
      </w:r>
      <w:r>
        <w:t xml:space="preserve">Frequent power outages in older Dhaka neighborhoods required our administrators to develop offline-capable solutions. This adaptation increased contract acceptance rates by 31% in areas like Old Dhaka and Kawran Bazar.</w:t>
      </w:r>
    </w:p>
    <w:bookmarkEnd w:id="23"/>
    <w:bookmarkStart w:id="24" w:name="X15eb00f88f11181a679f4f9af4fe2c1c0a12bcb"/>
    <w:p>
      <w:pPr>
        <w:pStyle w:val="Heading3"/>
      </w:pPr>
      <w:r>
        <w:t xml:space="preserve">V. Strategic Recommendations for Bangladesh Dhaka Operations</w:t>
      </w:r>
    </w:p>
    <w:p>
      <w:pPr>
        <w:pStyle w:val="FirstParagraph"/>
      </w:pPr>
      <w:r>
        <w:t xml:space="preserve">Based on our Sales Report analysis, we propose the following targeted actions:</w:t>
      </w:r>
    </w:p>
    <w:p>
      <w:pPr>
        <w:numPr>
          <w:ilvl w:val="0"/>
          <w:numId w:val="1003"/>
        </w:numPr>
        <w:pStyle w:val="Compact"/>
      </w:pPr>
      <w:r>
        <w:rPr>
          <w:bCs/>
          <w:b/>
        </w:rPr>
        <w:t xml:space="preserve">Localized Content Development:</w:t>
      </w:r>
      <w:r>
        <w:t xml:space="preserve"> </w:t>
      </w:r>
      <w:r>
        <w:t xml:space="preserve">Create Dhaka-specific case studies featuring success stories from institutions like Dhanmondi Model School and Uttara Model College to build credibility with local administrators.</w:t>
      </w:r>
    </w:p>
    <w:p>
      <w:pPr>
        <w:numPr>
          <w:ilvl w:val="0"/>
          <w:numId w:val="1003"/>
        </w:numPr>
        <w:pStyle w:val="Compact"/>
      </w:pPr>
      <w:r>
        <w:rPr>
          <w:bCs/>
          <w:b/>
        </w:rPr>
        <w:t xml:space="preserve">Dhaka Education Hub:</w:t>
      </w:r>
      <w:r>
        <w:t xml:space="preserve"> </w:t>
      </w:r>
      <w:r>
        <w:t xml:space="preserve">Establish a dedicated sales operations center in Dhaka (proposed location: Badda) to reduce response times and enable on-site demonstrations – projected to increase close rates by 22% within 18 months.</w:t>
      </w:r>
    </w:p>
    <w:p>
      <w:pPr>
        <w:numPr>
          <w:ilvl w:val="0"/>
          <w:numId w:val="1003"/>
        </w:numPr>
        <w:pStyle w:val="Compact"/>
      </w:pPr>
      <w:r>
        <w:rPr>
          <w:bCs/>
          <w:b/>
        </w:rPr>
        <w:t xml:space="preserve">Government Partnership Framework:</w:t>
      </w:r>
      <w:r>
        <w:t xml:space="preserve"> </w:t>
      </w:r>
      <w:r>
        <w:t xml:space="preserve">Formalize agreements with Dhaka Metropolitan Government's Education Division for annual procurement cycles, creating a stable $1.2M+ revenue pipeline through the "Smart School Initiative" (launching Q1 2024).</w:t>
      </w:r>
    </w:p>
    <w:p>
      <w:pPr>
        <w:numPr>
          <w:ilvl w:val="0"/>
          <w:numId w:val="1003"/>
        </w:numPr>
        <w:pStyle w:val="Compact"/>
      </w:pPr>
      <w:r>
        <w:rPr>
          <w:bCs/>
          <w:b/>
        </w:rPr>
        <w:t xml:space="preserve">Talent Development:</w:t>
      </w:r>
      <w:r>
        <w:t xml:space="preserve"> </w:t>
      </w:r>
      <w:r>
        <w:t xml:space="preserve">Implement specialized training for our Education Administrators on Dhaka-specific market challenges (e.g., navigating religious/cultural sensitivities in curriculum discussions), directly addressing a 41% skills gap identified in quarterly assessments.</w:t>
      </w:r>
    </w:p>
    <w:bookmarkEnd w:id="24"/>
    <w:bookmarkStart w:id="25" w:name="X8dfdcf52726edfcac85598f2f0bceb039c5a7b6"/>
    <w:p>
      <w:pPr>
        <w:pStyle w:val="Heading3"/>
      </w:pPr>
      <w:r>
        <w:t xml:space="preserve">VI. Conclusion: The Strategic Imperative of Sales Excellence in Bangladesh Dhaka</w:t>
      </w:r>
    </w:p>
    <w:p>
      <w:pPr>
        <w:pStyle w:val="FirstParagraph"/>
      </w:pPr>
      <w:r>
        <w:t xml:space="preserve">This Sales Report confirms that our Education Administrator team is not merely executing sales transactions, but driving educational transformation across Bangladesh's most dynamic city. Dhaka represents a $287 million annual education technology market – with only 14% currently served by digital solutions. Our recent growth demonstrates how sales excellence directly translates to expanded access to quality education for over 350,000 students in Dhaka alone.</w:t>
      </w:r>
    </w:p>
    <w:p>
      <w:pPr>
        <w:pStyle w:val="BodyText"/>
      </w:pPr>
      <w:r>
        <w:t xml:space="preserve">As Bangladesh's government prioritizes education as the engine of national development, the role of the Education Administrator has evolved from transactional seller to strategic partner. In this context, our Dhaka team's ability to navigate complex policy landscapes while delivering measurable student outcomes positions us uniquely for exponential growth. We project that implementing these recommendations will capture 27% market share in Dhaka's digital education sector by 2025 – a target achievable through the sustained excellence of our Education Administrators.</w:t>
      </w:r>
    </w:p>
    <w:p>
      <w:pPr>
        <w:pStyle w:val="BodyText"/>
      </w:pPr>
      <w:r>
        <w:t xml:space="preserve">For Bangladesh Dhaka, where every educational institution represents a potential catalyst for social mobility, this Sales Report underscores that effective sales leadership isn't just about revenue – it's about accelerating national progress. The path forward requires doubling down on localized strategies that recognize Dhaka's unique blend of ambition and challenges. Our Education Administrators are the critical link between innovative solutions and transformative impact across Bangladesh's educational landscape.</w:t>
      </w:r>
    </w:p>
    <w:bookmarkEnd w:id="25"/>
    <w:bookmarkStart w:id="26" w:name="Xaef3b38fe8e30ae07c96f818580321b0f5a6a26"/>
    <w:p>
      <w:pPr>
        <w:pStyle w:val="Heading3"/>
      </w:pPr>
      <w:r>
        <w:t xml:space="preserve">VII. Appendix: Key Performance Metrics (Dhaka Region)</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(BDT)</w:t>
      </w:r>
    </w:p>
    <w:p>
      <w:pPr>
        <w:pStyle w:val="BodyText"/>
      </w:pPr>
      <w:r>
        <w:t xml:space="preserve">1.85 Cr.</w:t>
      </w:r>
    </w:p>
    <w:p>
      <w:pPr>
        <w:pStyle w:val="BodyText"/>
      </w:pPr>
      <w:r>
        <w:t xml:space="preserve">+18.7%</w:t>
      </w:r>
    </w:p>
    <w:p>
      <w:pPr>
        <w:pStyle w:val="BodyText"/>
      </w:pPr>
      <w:r>
        <w:t xml:space="preserve">New Institutional Contracts</w:t>
      </w:r>
    </w:p>
    <w:p>
      <w:pPr>
        <w:pStyle w:val="BodyText"/>
      </w:pPr>
      <w:r>
        <w:t xml:space="preserve">32</w:t>
      </w:r>
    </w:p>
    <w:p>
      <w:pPr>
        <w:pStyle w:val="BodyText"/>
      </w:pPr>
      <w:r>
        <w:t xml:space="preserve">+24%</w:t>
      </w:r>
    </w:p>
    <w:p>
      <w:pPr>
        <w:pStyle w:val="BodyText"/>
      </w:pPr>
      <w:r>
        <w:t xml:space="preserve">Cross-Sell Ratio (Per Account)</w:t>
      </w:r>
    </w:p>
    <w:p>
      <w:pPr>
        <w:pStyle w:val="BodyText"/>
      </w:pPr>
      <w:r>
        <w:t xml:space="preserve">1.75</w:t>
      </w:r>
    </w:p>
    <w:p>
      <w:pPr>
        <w:pStyle w:val="BodyText"/>
      </w:pPr>
      <w:r>
        <w:t xml:space="preserve">+19%</w:t>
      </w:r>
    </w:p>
    <w:p>
      <w:pPr>
        <w:pStyle w:val="BodyText"/>
      </w:pPr>
      <w:r>
        <w:t xml:space="preserve">89%</w:t>
      </w:r>
    </w:p>
    <w:p>
      <w:pPr>
        <w:pStyle w:val="BodyText"/>
      </w:pPr>
      <w:r>
        <w:rPr>
          <w:bCs/>
          <w:b/>
        </w:rPr>
        <w:t xml:space="preserve">+8 points</w:t>
      </w:r>
      <w:r>
        <w:t xml:space="preserve">&gt;</w:t>
      </w:r>
    </w:p>
    <w:p>
      <w:pPr>
        <w:pStyle w:val="BodyText"/>
      </w:pPr>
      <w:r>
        <w:rPr>
          <w:iCs/>
          <w:i/>
        </w:rPr>
        <w:t xml:space="preserve">This Sales Report is an official document of [Your Company Name]. All data verified against Dhaka Education Board records and institutional contracts.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Bangladesh Dhaka</dc:title>
  <dc:creator/>
  <dc:language>en</dc:language>
  <cp:keywords/>
  <dcterms:created xsi:type="dcterms:W3CDTF">2026-07-24T09:52:49Z</dcterms:created>
  <dcterms:modified xsi:type="dcterms:W3CDTF">2026-07-24T09:52:49Z</dcterms:modified>
</cp:coreProperties>
</file>

<file path=docProps/custom.xml><?xml version="1.0" encoding="utf-8"?>
<Properties xmlns="http://schemas.openxmlformats.org/officeDocument/2006/custom-properties" xmlns:vt="http://schemas.openxmlformats.org/officeDocument/2006/docPropsVTypes"/>
</file>