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Belgium</w:t>
      </w:r>
      <w:r>
        <w:t xml:space="preserve"> </w:t>
      </w:r>
      <w:r>
        <w:t xml:space="preserve">Brussels</w:t>
      </w:r>
      <w:r>
        <w:t xml:space="preserve"> </w:t>
      </w:r>
      <w:r>
        <w:t xml:space="preserve">Region</w:t>
      </w:r>
    </w:p>
    <w:bookmarkStart w:id="27" w:name="Xdce776829f7b0266b4ab13a114c5b951fdce981"/>
    <w:p>
      <w:pPr>
        <w:pStyle w:val="Heading1"/>
      </w:pPr>
      <w:r>
        <w:t xml:space="preserve">Sales Report: Education Administrator Excellence in Belgium Brussels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Regional Education Partnerships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and strategic performance of our Education Administrator team within the dynamic educational landscape of Belgium Brussels. As pivotal roles driving institutional growth and compliance, our Education Administrators have successfully navigated complex regional regulations while achieving significant sales targets tied to student enrollment, partnership development, and stakeholder satisfaction. In the Belgium Brussels market—characterized by its multilingual structure (Dutch/French), stringent regional education policies, and high demand for specialized programs—the performance of our Education Administrator team directly correlates with our organization’s market share growth. This quarter reflects a 15% year-on-year increase in new institutional contracts secured across Brussels, attributed to the strategic expertise of our dedicated Education Administrators.</w:t>
      </w:r>
    </w:p>
    <w:bookmarkEnd w:id="20"/>
    <w:bookmarkStart w:id="21" w:name="ii.-belgium-brussels-market-context"/>
    <w:p>
      <w:pPr>
        <w:pStyle w:val="Heading2"/>
      </w:pPr>
      <w:r>
        <w:t xml:space="preserve">II. Belgium Brussels Market Context</w:t>
      </w:r>
    </w:p>
    <w:p>
      <w:pPr>
        <w:pStyle w:val="FirstParagraph"/>
      </w:pPr>
      <w:r>
        <w:t xml:space="preserve">The education sector in Belgium Brussels presents unique challenges and opportunities. As the capital region with a population of over 1.2 million, it operates under dual-language governance (French and Dutch) and is overseen by the Brussels-Capital Region’s Education Department (</w:t>
      </w:r>
      <w:r>
        <w:rPr>
          <w:iCs/>
          <w:i/>
        </w:rPr>
        <w:t xml:space="preserve">Ministère de l'Éducation de la Région de Bruxelles-Capitale</w:t>
      </w:r>
      <w:r>
        <w:t xml:space="preserve">). Key priorities include inclusive education access, digital transformation in schools, and alignment with EU education initiatives. This environment demands Education Administrators who are not only operationally proficient but also culturally attuned to navigating Brussels’ intricate administrative ecosystem. Our team has capitalized on this complexity through specialized training in regional compliance frameworks like the</w:t>
      </w:r>
      <w:r>
        <w:t xml:space="preserve"> </w:t>
      </w:r>
      <w:r>
        <w:rPr>
          <w:iCs/>
          <w:i/>
        </w:rPr>
        <w:t xml:space="preserve">Code de l’éducation</w:t>
      </w:r>
      <w:r>
        <w:t xml:space="preserve"> </w:t>
      </w:r>
      <w:r>
        <w:t xml:space="preserve">(French-speaking) and</w:t>
      </w:r>
      <w:r>
        <w:t xml:space="preserve"> </w:t>
      </w:r>
      <w:r>
        <w:rPr>
          <w:iCs/>
          <w:i/>
        </w:rPr>
        <w:t xml:space="preserve">Onderwijswet</w:t>
      </w:r>
      <w:r>
        <w:t xml:space="preserve"> </w:t>
      </w:r>
      <w:r>
        <w:t xml:space="preserve">(Dutch-speaking), directly enhancing our sales competitiveness.</w:t>
      </w:r>
    </w:p>
    <w:bookmarkEnd w:id="21"/>
    <w:bookmarkStart w:id="22" w:name="Xbfddadd58de499c5d3b9218f46fab89168830a6"/>
    <w:p>
      <w:pPr>
        <w:pStyle w:val="Heading2"/>
      </w:pPr>
      <w:r>
        <w:t xml:space="preserve">III. Sales Performance Metrics: Education Administrator Impact</w:t>
      </w:r>
    </w:p>
    <w:p>
      <w:pPr>
        <w:pStyle w:val="FirstParagraph"/>
      </w:pPr>
      <w:r>
        <w:t xml:space="preserve">The role of the Education Administrator has evolved beyond traditional administrative duties into a strategic sales driver. Key metrics for Q3 2023 underscore this transformation:</w:t>
      </w:r>
    </w:p>
    <w:p>
      <w:pPr>
        <w:numPr>
          <w:ilvl w:val="0"/>
          <w:numId w:val="1001"/>
        </w:numPr>
        <w:pStyle w:val="Compact"/>
      </w:pPr>
      <w:r>
        <w:rPr>
          <w:bCs/>
          <w:b/>
        </w:rPr>
        <w:t xml:space="preserve">New Institutional Contracts Secured:</w:t>
      </w:r>
      <w:r>
        <w:t xml:space="preserve"> </w:t>
      </w:r>
      <w:r>
        <w:t xml:space="preserve">14+ new agreements with primary/secondary schools and vocational institutes across Brussels (vs. 8 in Q2). These contracts include integrated digital learning platforms, teacher training modules, and student data management systems.</w:t>
      </w:r>
    </w:p>
    <w:p>
      <w:pPr>
        <w:numPr>
          <w:ilvl w:val="0"/>
          <w:numId w:val="1001"/>
        </w:numPr>
        <w:pStyle w:val="Compact"/>
      </w:pPr>
      <w:r>
        <w:rPr>
          <w:bCs/>
          <w:b/>
        </w:rPr>
        <w:t xml:space="preserve">Client Retention Rate:</w:t>
      </w:r>
      <w:r>
        <w:t xml:space="preserve"> </w:t>
      </w:r>
      <w:r>
        <w:t xml:space="preserve">94% (exceeding the regional benchmark of 85%), driven by Education Administrators’ proactive engagement with school leadership to address evolving curriculum needs post-pandemic.</w:t>
      </w:r>
    </w:p>
    <w:p>
      <w:pPr>
        <w:numPr>
          <w:ilvl w:val="0"/>
          <w:numId w:val="1001"/>
        </w:numPr>
        <w:pStyle w:val="Compact"/>
      </w:pPr>
      <w:r>
        <w:rPr>
          <w:bCs/>
          <w:b/>
        </w:rPr>
        <w:t xml:space="preserve">Partnership Growth:</w:t>
      </w:r>
      <w:r>
        <w:t xml:space="preserve"> </w:t>
      </w:r>
      <w:r>
        <w:t xml:space="preserve">24 new collaborations with Brussels-based educational NGOs and university departments, facilitating joint programs in language immersion and STEM education. This directly supports our sales strategy of "community-driven solutions."</w:t>
      </w:r>
    </w:p>
    <w:p>
      <w:pPr>
        <w:numPr>
          <w:ilvl w:val="0"/>
          <w:numId w:val="1001"/>
        </w:numPr>
        <w:pStyle w:val="Compact"/>
      </w:pPr>
      <w:r>
        <w:rPr>
          <w:bCs/>
          <w:b/>
        </w:rPr>
        <w:t xml:space="preserve">Compliance Efficiency:</w:t>
      </w:r>
      <w:r>
        <w:t xml:space="preserve"> </w:t>
      </w:r>
      <w:r>
        <w:t xml:space="preserve">Zero regulatory non-compliance incidents across all client schools in Belgium Brussels—critical for maintaining trust and enabling long-term sales cycles.</w:t>
      </w:r>
    </w:p>
    <w:bookmarkEnd w:id="22"/>
    <w:bookmarkStart w:id="23" w:name="Xc3cb491fcb44dd84e863f2188f8d45e55775de3"/>
    <w:p>
      <w:pPr>
        <w:pStyle w:val="Heading2"/>
      </w:pPr>
      <w:r>
        <w:t xml:space="preserve">IV. Strategic Initiatives Driving Sales Success</w:t>
      </w:r>
    </w:p>
    <w:p>
      <w:pPr>
        <w:pStyle w:val="FirstParagraph"/>
      </w:pPr>
      <w:r>
        <w:t xml:space="preserve">The Education Administrator team’s sales strategy in Belgium Brussels centered on three pillars:</w:t>
      </w:r>
    </w:p>
    <w:p>
      <w:pPr>
        <w:numPr>
          <w:ilvl w:val="0"/>
          <w:numId w:val="1002"/>
        </w:numPr>
        <w:pStyle w:val="Compact"/>
      </w:pPr>
      <w:r>
        <w:rPr>
          <w:bCs/>
          <w:b/>
        </w:rPr>
        <w:t xml:space="preserve">Localization of Solutions:</w:t>
      </w:r>
      <w:r>
        <w:t xml:space="preserve"> </w:t>
      </w:r>
      <w:r>
        <w:t xml:space="preserve">Tailoring product offerings to align with Brussels’ multilingual educational requirements. For example, deploying French-Dutch bilingual content modules for schools serving mixed-language communities (e.g.,</w:t>
      </w:r>
      <w:r>
        <w:t xml:space="preserve"> </w:t>
      </w:r>
      <w:r>
        <w:rPr>
          <w:iCs/>
          <w:i/>
        </w:rPr>
        <w:t xml:space="preserve">Ecoles de la Région de Bruxelles-Capitale</w:t>
      </w:r>
      <w:r>
        <w:t xml:space="preserve">). This customization directly increased conversion rates by 22%.</w:t>
      </w:r>
    </w:p>
    <w:p>
      <w:pPr>
        <w:numPr>
          <w:ilvl w:val="0"/>
          <w:numId w:val="1002"/>
        </w:numPr>
        <w:pStyle w:val="Compact"/>
      </w:pPr>
      <w:r>
        <w:rPr>
          <w:bCs/>
          <w:b/>
        </w:rPr>
        <w:t xml:space="preserve">Regulatory Intelligence:</w:t>
      </w:r>
      <w:r>
        <w:t xml:space="preserve"> </w:t>
      </w:r>
      <w:r>
        <w:t xml:space="preserve">Education Administrators maintained real-time updates on policy shifts (e.g., the 2023 Brussels Digital Learning Strategy), enabling swift product adjustments. A recent compliance-focused update to our student analytics tool was adopted by 11 schools within a month of launch.</w:t>
      </w:r>
    </w:p>
    <w:p>
      <w:pPr>
        <w:numPr>
          <w:ilvl w:val="0"/>
          <w:numId w:val="1002"/>
        </w:numPr>
        <w:pStyle w:val="Compact"/>
      </w:pPr>
      <w:r>
        <w:rPr>
          <w:bCs/>
          <w:b/>
        </w:rPr>
        <w:t xml:space="preserve">Stakeholder Ecosystem Development:</w:t>
      </w:r>
      <w:r>
        <w:t xml:space="preserve"> </w:t>
      </w:r>
      <w:r>
        <w:t xml:space="preserve">Hosting quarterly workshops for school directors and regional education officials (e.g., the</w:t>
      </w:r>
      <w:r>
        <w:t xml:space="preserve"> </w:t>
      </w:r>
      <w:r>
        <w:rPr>
          <w:iCs/>
          <w:i/>
        </w:rPr>
        <w:t xml:space="preserve">Inspection de l’Éducation</w:t>
      </w:r>
      <w:r>
        <w:t xml:space="preserve">) to co-design solutions. These events generated 37 qualified sales leads, directly attributable to Education Administrator relationship-building.</w:t>
      </w:r>
    </w:p>
    <w:bookmarkEnd w:id="23"/>
    <w:bookmarkStart w:id="24" w:name="X55a52f5cfd6896e2f83612683a2f0f72100f927"/>
    <w:p>
      <w:pPr>
        <w:pStyle w:val="Heading2"/>
      </w:pPr>
      <w:r>
        <w:t xml:space="preserve">V. Challenges &amp; Adaptive Solutions in Belgium Brussels</w:t>
      </w:r>
    </w:p>
    <w:p>
      <w:pPr>
        <w:pStyle w:val="FirstParagraph"/>
      </w:pPr>
      <w:r>
        <w:t xml:space="preserve">Our team encountered two primary challenges in the Belgium Brussels market:</w:t>
      </w:r>
    </w:p>
    <w:p>
      <w:pPr>
        <w:numPr>
          <w:ilvl w:val="0"/>
          <w:numId w:val="1003"/>
        </w:numPr>
        <w:pStyle w:val="Compact"/>
      </w:pPr>
      <w:r>
        <w:rPr>
          <w:iCs/>
          <w:i/>
        </w:rPr>
        <w:t xml:space="preserve">Policy Fragmentation:</w:t>
      </w:r>
      <w:r>
        <w:t xml:space="preserve"> </w:t>
      </w:r>
      <w:r>
        <w:t xml:space="preserve">Differing requirements between French and Dutch-speaking school authorities initially slowed sales cycles. Our Education Administrators resolved this by creating two parallel compliance documentation sets, reducing onboarding time by 40%.</w:t>
      </w:r>
    </w:p>
    <w:p>
      <w:pPr>
        <w:numPr>
          <w:ilvl w:val="0"/>
          <w:numId w:val="1003"/>
        </w:numPr>
        <w:pStyle w:val="Compact"/>
      </w:pPr>
      <w:r>
        <w:rPr>
          <w:iCs/>
          <w:i/>
        </w:rPr>
        <w:t xml:space="preserve">Cultural Nuances:</w:t>
      </w:r>
      <w:r>
        <w:t xml:space="preserve"> </w:t>
      </w:r>
      <w:r>
        <w:t xml:space="preserve">Brussels’ high-stakes education environment requires diplomatic engagement with sensitive stakeholders (e.g., parents’ associations, union representatives). Education Administrators underwent specialized cultural training, resulting in a 30% reduction in stakeholder-related project delays.</w:t>
      </w:r>
    </w:p>
    <w:bookmarkEnd w:id="24"/>
    <w:bookmarkStart w:id="25" w:name="X759a049587568fcf64ed5957c4c017482d0e3ed"/>
    <w:p>
      <w:pPr>
        <w:pStyle w:val="Heading2"/>
      </w:pPr>
      <w:r>
        <w:t xml:space="preserve">VI. Future Sales Strategy for Belgium Brussels</w:t>
      </w:r>
    </w:p>
    <w:p>
      <w:pPr>
        <w:pStyle w:val="FirstParagraph"/>
      </w:pPr>
      <w:r>
        <w:t xml:space="preserve">Building on Q3 success, the Education Administrator team will focus on three growth levers:</w:t>
      </w:r>
    </w:p>
    <w:p>
      <w:pPr>
        <w:numPr>
          <w:ilvl w:val="0"/>
          <w:numId w:val="1004"/>
        </w:numPr>
        <w:pStyle w:val="Compact"/>
      </w:pPr>
      <w:r>
        <w:rPr>
          <w:bCs/>
          <w:b/>
        </w:rPr>
        <w:t xml:space="preserve">Scaling Bilingual Offerings:</w:t>
      </w:r>
      <w:r>
        <w:t xml:space="preserve"> </w:t>
      </w:r>
      <w:r>
        <w:t xml:space="preserve">Launching a fully bilingual (French/Dutch) curriculum management suite by Q1 2024, targeting Brussels’ 80+ schools with dual-language programs.</w:t>
      </w:r>
    </w:p>
    <w:p>
      <w:pPr>
        <w:numPr>
          <w:ilvl w:val="0"/>
          <w:numId w:val="1004"/>
        </w:numPr>
        <w:pStyle w:val="Compact"/>
      </w:pPr>
      <w:r>
        <w:rPr>
          <w:bCs/>
          <w:b/>
        </w:rPr>
        <w:t xml:space="preserve">Government Partnership Expansion:</w:t>
      </w:r>
      <w:r>
        <w:t xml:space="preserve"> </w:t>
      </w:r>
      <w:r>
        <w:t xml:space="preserve">Pursuing contracts with the Brussels Regional Government’s Education Department to integrate our platform into public school digital infrastructure.</w:t>
      </w:r>
    </w:p>
    <w:p>
      <w:pPr>
        <w:numPr>
          <w:ilvl w:val="0"/>
          <w:numId w:val="1004"/>
        </w:numPr>
        <w:pStyle w:val="Compact"/>
      </w:pPr>
      <w:r>
        <w:rPr>
          <w:bCs/>
          <w:b/>
        </w:rPr>
        <w:t xml:space="preserve">Data-Driven Sales Intelligence:</w:t>
      </w:r>
      <w:r>
        <w:t xml:space="preserve"> </w:t>
      </w:r>
      <w:r>
        <w:t xml:space="preserve">Implementing a localized CRM module tracking Brussels-specific KPIs (e.g., enrollment trends by language community) to forecast sales opportunities proactively.</w:t>
      </w:r>
    </w:p>
    <w:bookmarkEnd w:id="25"/>
    <w:bookmarkStart w:id="26" w:name="vii.-conclusion"/>
    <w:p>
      <w:pPr>
        <w:pStyle w:val="Heading2"/>
      </w:pPr>
      <w:r>
        <w:t xml:space="preserve">VII. Conclusion</w:t>
      </w:r>
    </w:p>
    <w:p>
      <w:pPr>
        <w:pStyle w:val="FirstParagraph"/>
      </w:pPr>
      <w:r>
        <w:t xml:space="preserve">The Education Administrator role has proven indispensable to our sales strategy in Belgium Brussels. By blending regulatory expertise, cultural agility, and solution-oriented collaboration, our team has positioned us as the market leader for innovative educational services in this critical region. The 15% sales growth in Q3 is not merely a metric—it reflects the deep trust earned through consistent adherence to Brussels’ educational values and governance standards. As we move into 2024, every Education Administrator in Belgium Brussels will remain central to our mission: delivering products that transform classrooms, empower educators, and meet the unique needs of a region where education is both a right and a shared responsibility. This Sales Report affirms that investing in specialized local expertise—exemplified by our Education Administrators—is the key to sustainable growth in Belgium Brussels’ evolving education ecosystem.</w:t>
      </w:r>
    </w:p>
    <w:p>
      <w:pPr>
        <w:pStyle w:val="BodyText"/>
      </w:pPr>
      <w:r>
        <w:rPr>
          <w:bCs/>
          <w:b/>
        </w:rPr>
        <w:t xml:space="preserve">Prepared by:</w:t>
      </w:r>
      <w:r>
        <w:t xml:space="preserve"> </w:t>
      </w:r>
      <w:r>
        <w:t xml:space="preserve">Regional Sales &amp; Operations Team</w:t>
      </w:r>
      <w:r>
        <w:br/>
      </w:r>
      <w:r>
        <w:rPr>
          <w:bCs/>
          <w:b/>
        </w:rPr>
        <w:t xml:space="preserve">Contact:</w:t>
      </w:r>
      <w:r>
        <w:t xml:space="preserve"> </w:t>
      </w:r>
      <w:r>
        <w:t xml:space="preserve">sales.brasse@education-solutions.be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Belgium Brussels Region</dc:title>
  <dc:creator/>
  <dc:language>en</dc:language>
  <cp:keywords/>
  <dcterms:created xsi:type="dcterms:W3CDTF">2026-07-23T05:33:05Z</dcterms:created>
  <dcterms:modified xsi:type="dcterms:W3CDTF">2026-07-23T05:33:05Z</dcterms:modified>
</cp:coreProperties>
</file>

<file path=docProps/custom.xml><?xml version="1.0" encoding="utf-8"?>
<Properties xmlns="http://schemas.openxmlformats.org/officeDocument/2006/custom-properties" xmlns:vt="http://schemas.openxmlformats.org/officeDocument/2006/docPropsVTypes"/>
</file>