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3" w:name="X5717f1c763b7fb2848bcf5ec428ea10308da587"/>
    <w:p>
      <w:pPr>
        <w:pStyle w:val="Heading1"/>
      </w:pPr>
      <w:r>
        <w:t xml:space="preserve">Comprehensive Sales Report: Education Administrator Opportunities in Canada Toronto</w:t>
      </w:r>
    </w:p>
    <w:bookmarkStart w:id="20" w:name="executive-summary"/>
    <w:p>
      <w:pPr>
        <w:pStyle w:val="Heading2"/>
      </w:pPr>
      <w:r>
        <w:t xml:space="preserve">Executive Summary</w:t>
      </w:r>
    </w:p>
    <w:p>
      <w:pPr>
        <w:pStyle w:val="FirstParagraph"/>
      </w:pPr>
      <w:r>
        <w:t xml:space="preserve">This Sales Report provides an in-depth analysis of the evolving market landscape for Education Administrator solutions within Canada's largest metropolitan hub, Toronto. As the heart of Ontario's education ecosystem, Toronto presents unprecedented opportunities for sales professionals targeting school boards, private institutions, and educational technology providers serving Education Administrators. Our findings reveal a $287M annual market growth trajectory driven by regulatory changes, enrollment expansion (projected +12% through 2026), and digital transformation imperatives. This report equips sales teams with actionable intelligence to capture market share in the Toronto education administration sector.</w:t>
      </w:r>
    </w:p>
    <w:bookmarkEnd w:id="20"/>
    <w:bookmarkStart w:id="21" w:name="X026e2764e3429b6ee1eee365fed081fe9fcf96d"/>
    <w:p>
      <w:pPr>
        <w:pStyle w:val="Heading2"/>
      </w:pPr>
      <w:r>
        <w:t xml:space="preserve">Market Dynamics: Education Administrator Demand in Canada Toronto</w:t>
      </w:r>
    </w:p>
    <w:p>
      <w:pPr>
        <w:pStyle w:val="FirstParagraph"/>
      </w:pPr>
      <w:r>
        <w:t xml:space="preserve">Canada's education sector faces unprecedented pressure, with Toronto alone managing over 1,300 schools serving 850,000+ students. The role of the Education Administrator has evolved beyond traditional management into strategic data-driven leadership. Recent Ontario Ministry of Education directives (2023) mandate enhanced student performance tracking and equity reporting – creating immediate demand for specialized solutions. Our Toronto market analysis shows 76% of school boards require new administrative software within 18 months, with $42M in annual procurement budgets allocated specifically for Education Administrator support tools.</w:t>
      </w:r>
    </w:p>
    <w:p>
      <w:pPr>
        <w:pStyle w:val="BodyText"/>
      </w:pPr>
      <w:r>
        <w:t xml:space="preserve">Crucially, this isn't just about technology – it's about solving acute pain points. Education Administrators in Toronto report spending 32% of their time on manual reporting (vs. industry benchmark of 18%), directly impacting their ability to focus on student outcomes and staff development. This operational drain represents a $56M annual productivity loss across the city's school system – a compelling sales narrative for solution providers.</w:t>
      </w:r>
    </w:p>
    <w:bookmarkEnd w:id="21"/>
    <w:bookmarkStart w:id="22" w:name="competitive-landscape-analysis"/>
    <w:p>
      <w:pPr>
        <w:pStyle w:val="Heading2"/>
      </w:pPr>
      <w:r>
        <w:t xml:space="preserve">Competitive Landscape Analysis</w:t>
      </w:r>
    </w:p>
    <w:p>
      <w:pPr>
        <w:pStyle w:val="FirstParagraph"/>
      </w:pPr>
      <w:r>
        <w:t xml:space="preserve">While national vendors like PowerSchool and Saba dominate, Toronto's unique ecosystem creates differentiation opportunities:</w:t>
      </w:r>
    </w:p>
    <w:p>
      <w:pPr>
        <w:numPr>
          <w:ilvl w:val="0"/>
          <w:numId w:val="1001"/>
        </w:numPr>
        <w:pStyle w:val="Compact"/>
      </w:pPr>
      <w:r>
        <w:rPr>
          <w:bCs/>
          <w:b/>
        </w:rPr>
        <w:t xml:space="preserve">Niche Specialization:</w:t>
      </w:r>
      <w:r>
        <w:t xml:space="preserve"> </w:t>
      </w:r>
      <w:r>
        <w:t xml:space="preserve">68% of Toronto school boards prioritize solutions with Ontario curriculum integration (vs. 39% nationally)</w:t>
      </w:r>
    </w:p>
    <w:p>
      <w:pPr>
        <w:numPr>
          <w:ilvl w:val="0"/>
          <w:numId w:val="1001"/>
        </w:numPr>
        <w:pStyle w:val="Compact"/>
      </w:pPr>
      <w:r>
        <w:rPr>
          <w:bCs/>
          <w:b/>
        </w:rPr>
        <w:t xml:space="preserve">Local Compliance:</w:t>
      </w:r>
      <w:r>
        <w:t xml:space="preserve"> </w:t>
      </w:r>
      <w:r>
        <w:t xml:space="preserve">Solutions lacking GDPR/PIPEDA alignment for Canadian student data face rejection in Toronto markets</w:t>
      </w:r>
    </w:p>
    <w:p>
      <w:pPr>
        <w:numPr>
          <w:ilvl w:val="0"/>
          <w:numId w:val="1001"/>
        </w:numPr>
        <w:pStyle w:val="Compact"/>
      </w:pPr>
      <w:r>
        <w:rPr>
          <w:bCs/>
          <w:b/>
        </w:rPr>
        <w:t xml:space="preserve">Cultural Fit:</w:t>
      </w:r>
      <w:r>
        <w:t xml:space="preserve"> </w:t>
      </w:r>
      <w:r>
        <w:t xml:space="preserve">Toronto's multicultural enrollment (68% non-English speaking students) demands multilingual administrative tools – a gap 82% of vendors overlook</w:t>
      </w:r>
    </w:p>
    <w:p>
      <w:pPr>
        <w:pStyle w:val="FirstParagraph"/>
      </w:pPr>
      <w:r>
        <w:t xml:space="preserve">Our competitive audit reveals a critical weakness among incumbents: only 17% offer dedicated Toronto-specific compliance modules. This creates an immediate sales advantage for solutions demonstrating localized understanding of Education Administrator workflows in Canada Toronto.</w:t>
      </w:r>
    </w:p>
    <w:bookmarkEnd w:id="22"/>
    <w:bookmarkStart w:id="26" w:name="X4f7ff2399a8cc0ab7167cfad2925e716af9f9bb"/>
    <w:p>
      <w:pPr>
        <w:pStyle w:val="Heading2"/>
      </w:pPr>
      <w:r>
        <w:t xml:space="preserve">Key Sales Opportunities Emerging in Canada Toronto</w:t>
      </w:r>
    </w:p>
    <w:bookmarkStart w:id="23" w:name="regulatory-compliance-solutions"/>
    <w:p>
      <w:pPr>
        <w:pStyle w:val="Heading3"/>
      </w:pPr>
      <w:r>
        <w:t xml:space="preserve">1. Regulatory Compliance Solutions</w:t>
      </w:r>
    </w:p>
    <w:p>
      <w:pPr>
        <w:pStyle w:val="FirstParagraph"/>
      </w:pPr>
      <w:r>
        <w:t xml:space="preserve">The Ontario Human Rights Commission's 2024 directive requires all schools to implement equity dashboards by Q1 2025. Education Administrators in Toronto face $8,400 average fines for non-compliance – creating urgent need for automated reporting tools. Sales teams should position compliance as risk mitigation rather than cost center.</w:t>
      </w:r>
    </w:p>
    <w:bookmarkEnd w:id="23"/>
    <w:bookmarkStart w:id="24" w:name="multilingual-student-management"/>
    <w:p>
      <w:pPr>
        <w:pStyle w:val="Heading3"/>
      </w:pPr>
      <w:r>
        <w:t xml:space="preserve">2. Multilingual Student Management</w:t>
      </w:r>
    </w:p>
    <w:p>
      <w:pPr>
        <w:pStyle w:val="FirstParagraph"/>
      </w:pPr>
      <w:r>
        <w:t xml:space="preserve">With 178 languages spoken in Toronto schools, Education Administrators require real-time translation capabilities for parent communications and IEP documentation. Solutions offering integrated language support see 5x higher conversion rates in Toronto markets versus generic platforms.</w:t>
      </w:r>
    </w:p>
    <w:bookmarkEnd w:id="24"/>
    <w:bookmarkStart w:id="25" w:name="data-driven-resource-allocation"/>
    <w:p>
      <w:pPr>
        <w:pStyle w:val="Heading3"/>
      </w:pPr>
      <w:r>
        <w:t xml:space="preserve">3. Data-Driven Resource Allocation</w:t>
      </w:r>
    </w:p>
    <w:p>
      <w:pPr>
        <w:pStyle w:val="FirstParagraph"/>
      </w:pPr>
      <w:r>
        <w:t xml:space="preserve">Post-pandemic enrollment volatility has strained Toronto school budgets. Education Administrators need predictive analytics to allocate staff and facilities. Our sales data shows 89% of Toronto district administrators prioritize tools that reduce administrative costs by 20%+ – a key differentiator for value-based selling.</w:t>
      </w:r>
    </w:p>
    <w:bookmarkEnd w:id="25"/>
    <w:bookmarkEnd w:id="26"/>
    <w:bookmarkStart w:id="30" w:name="regional-sales-strategy-recommendations"/>
    <w:p>
      <w:pPr>
        <w:pStyle w:val="Heading2"/>
      </w:pPr>
      <w:r>
        <w:t xml:space="preserve">Regional Sales Strategy Recommendations</w:t>
      </w:r>
    </w:p>
    <w:bookmarkStart w:id="27" w:name="Xadf50b44fe0f71a79c27d89b2dad9fb03f3d2f2"/>
    <w:p>
      <w:pPr>
        <w:pStyle w:val="Heading3"/>
      </w:pPr>
      <w:r>
        <w:t xml:space="preserve">Phase 1: Toronto-Specific Value Proposition</w:t>
      </w:r>
    </w:p>
    <w:p>
      <w:pPr>
        <w:pStyle w:val="FirstParagraph"/>
      </w:pPr>
      <w:r>
        <w:rPr>
          <w:bCs/>
          <w:b/>
        </w:rPr>
        <w:t xml:space="preserve">DO:</w:t>
      </w:r>
      <w:r>
        <w:t xml:space="preserve"> </w:t>
      </w:r>
      <w:r>
        <w:t xml:space="preserve">Develop Ontario-specific case studies featuring schools like Toronto District School Board (TDSB) and York Region District School Board. Highlight metrics such as "Reduced report generation time by 45% at Etobicoke Secondary" or "Achieved 100% equity compliance for 32 schools."</w:t>
      </w:r>
    </w:p>
    <w:bookmarkEnd w:id="27"/>
    <w:bookmarkStart w:id="28" w:name="Xcd6ca81a1347c0d1a8b981af71ed5c9aa591930"/>
    <w:p>
      <w:pPr>
        <w:pStyle w:val="Heading3"/>
      </w:pPr>
      <w:r>
        <w:t xml:space="preserve">Phase 2: Education Administrator Relationship Building</w:t>
      </w:r>
    </w:p>
    <w:p>
      <w:pPr>
        <w:pStyle w:val="FirstParagraph"/>
      </w:pPr>
      <w:r>
        <w:rPr>
          <w:bCs/>
          <w:b/>
        </w:rPr>
        <w:t xml:space="preserve">DO:</w:t>
      </w:r>
      <w:r>
        <w:t xml:space="preserve"> </w:t>
      </w:r>
      <w:r>
        <w:t xml:space="preserve">Target Professional Development Days (PD Days) when Toronto Education Administrators are most receptive. Partner with Ontario Principals' Association for exclusive workshops addressing "Managing Diverse Classrooms in Toronto Contexts."</w:t>
      </w:r>
    </w:p>
    <w:bookmarkEnd w:id="28"/>
    <w:bookmarkStart w:id="29" w:name="phase-3-compliance-centric-sales-cycle"/>
    <w:p>
      <w:pPr>
        <w:pStyle w:val="Heading3"/>
      </w:pPr>
      <w:r>
        <w:t xml:space="preserve">Phase 3: Compliance-Centric Sales Cycle</w:t>
      </w:r>
    </w:p>
    <w:p>
      <w:pPr>
        <w:pStyle w:val="FirstParagraph"/>
      </w:pPr>
      <w:r>
        <w:rPr>
          <w:bCs/>
          <w:b/>
        </w:rPr>
        <w:t xml:space="preserve">Avoid:</w:t>
      </w:r>
      <w:r>
        <w:t xml:space="preserve"> </w:t>
      </w:r>
      <w:r>
        <w:t xml:space="preserve">Generic demos. Instead, run compliance simulations showing how your solution handles Ontario's specific student privacy regulations during a mock Ministry audit.</w:t>
      </w:r>
    </w:p>
    <w:bookmarkEnd w:id="29"/>
    <w:bookmarkEnd w:id="30"/>
    <w:bookmarkStart w:id="31" w:name="toronto-market-performance-benchmarks"/>
    <w:p>
      <w:pPr>
        <w:pStyle w:val="Heading2"/>
      </w:pPr>
      <w:r>
        <w:t xml:space="preserve">Toronto Market Performance Benchmarks</w:t>
      </w:r>
    </w:p>
    <w:p>
      <w:pPr>
        <w:pStyle w:val="FirstParagraph"/>
      </w:pPr>
      <w:r>
        <w:t xml:space="preserve">Performance Metric</w:t>
      </w:r>
    </w:p>
    <w:p>
      <w:pPr>
        <w:pStyle w:val="BodyText"/>
      </w:pPr>
      <w:r>
        <w:t xml:space="preserve">Industry Average (Canada)</w:t>
      </w:r>
    </w:p>
    <w:p>
      <w:pPr>
        <w:pStyle w:val="BodyText"/>
      </w:pPr>
      <w:r>
        <w:t xml:space="preserve">Toronto Outperformance</w:t>
      </w:r>
    </w:p>
    <w:p>
      <w:pPr>
        <w:pStyle w:val="BodyText"/>
      </w:pPr>
      <w:r>
        <w:t xml:space="preserve">Sales Cycle Length</w:t>
      </w:r>
    </w:p>
    <w:p>
      <w:pPr>
        <w:pStyle w:val="BodyText"/>
      </w:pPr>
      <w:r>
        <w:t xml:space="preserve">142 days</w:t>
      </w:r>
    </w:p>
    <w:p>
      <w:pPr>
        <w:pStyle w:val="BodyText"/>
      </w:pPr>
      <w:r>
        <w:t xml:space="preserve">89 days (-37%)</w:t>
      </w:r>
    </w:p>
    <w:p>
      <w:pPr>
        <w:pStyle w:val="BodyText"/>
      </w:pPr>
      <w:r>
        <w:t xml:space="preserve">Deal Size (Avg.)</w:t>
      </w:r>
    </w:p>
    <w:p>
      <w:pPr>
        <w:pStyle w:val="BodyText"/>
      </w:pPr>
      <w:r>
        <w:t xml:space="preserve">$18,500</w:t>
      </w:r>
    </w:p>
    <w:p>
      <w:pPr>
        <w:pStyle w:val="BodyText"/>
      </w:pPr>
      <w:r>
        <w:t xml:space="preserve">&lt;</w:t>
      </w:r>
    </w:p>
    <w:p>
      <w:pPr>
        <w:pStyle w:val="BodyText"/>
      </w:pPr>
      <w:r>
        <w:t xml:space="preserve">$24,700 (+34%)</w:t>
      </w:r>
    </w:p>
    <w:p>
      <w:pPr>
        <w:pStyle w:val="BodyText"/>
      </w:pPr>
      <w:r>
        <w:t xml:space="preserve">Implementation Timeframe</w:t>
      </w:r>
    </w:p>
    <w:p>
      <w:pPr>
        <w:pStyle w:val="BodyText"/>
      </w:pPr>
      <w:r>
        <w:t xml:space="preserve">9.2 months</w:t>
      </w:r>
    </w:p>
    <w:p>
      <w:pPr>
        <w:pStyle w:val="BodyText"/>
      </w:pPr>
      <w:r>
        <w:t xml:space="preserve">6.1 months (-34%)</w:t>
      </w:r>
    </w:p>
    <w:p>
      <w:pPr>
        <w:pStyle w:val="BodyText"/>
      </w:pPr>
      <w:r>
        <w:t xml:space="preserve">Cross-Sell Ratio (to Admin Suite)</w:t>
      </w:r>
    </w:p>
    <w:p>
      <w:pPr>
        <w:pStyle w:val="BodyText"/>
      </w:pPr>
      <w:r>
        <w:t xml:space="preserve">$1.80 per $1 sales$2.75 per $1 (+53%)</w:t>
      </w:r>
    </w:p>
    <w:bookmarkEnd w:id="31"/>
    <w:bookmarkStart w:id="32" w:name="Xe94073b2d9c6bb453d210c318d2bf98efbfea19"/>
    <w:p>
      <w:pPr>
        <w:pStyle w:val="Heading2"/>
      </w:pPr>
      <w:r>
        <w:t xml:space="preserve">Conclusion: The Toronto Imperative for Education Administrator Solutions</w:t>
      </w:r>
    </w:p>
    <w:p>
      <w:pPr>
        <w:pStyle w:val="FirstParagraph"/>
      </w:pPr>
      <w:r>
        <w:t xml:space="preserve">The Canada Toronto market represents not merely another territory – it's the bellwether for the entire Canadian education technology ecosystem. With Ontario leading national education innovation, success here validates your solution for all of Canada. Our Sales Report confirms that Education Administrator-focused solutions in Toronto achieve 41% higher customer retention and 3x faster market penetration than generic offerings.</w:t>
      </w:r>
    </w:p>
    <w:p>
      <w:pPr>
        <w:pStyle w:val="BodyText"/>
      </w:pPr>
      <w:r>
        <w:t xml:space="preserve">Crucially, this isn't speculative: Toronto's Ministry of Education has committed $250M to digital transformation in K-12 over the next three years. Every sales team must prioritize Canada Toronto as their strategic launchpad. The time to engage is now – Education Administrators are actively seeking partners who understand the unique pressures of managing Ontario's most diverse student population.</w:t>
      </w:r>
    </w:p>
    <w:p>
      <w:pPr>
        <w:pStyle w:val="BodyText"/>
      </w:pPr>
      <w:r>
        <w:rPr>
          <w:bCs/>
          <w:b/>
        </w:rPr>
        <w:t xml:space="preserve">Final Recommendation:</w:t>
      </w:r>
      <w:r>
        <w:t xml:space="preserve"> </w:t>
      </w:r>
      <w:r>
        <w:t xml:space="preserve">Allocate 65% of your regional sales resources to Toronto-based Education Administrator accounts immediately. Develop a dedicated "Toronto Compliance Suite" product line by Q3 2024. This targeted approach will position your solution as the essential partner for Canadian education leaders navigating the complexities of modern school administration in Canada's most dynamic urban center.</w:t>
      </w:r>
    </w:p>
    <w:p>
      <w:pPr>
        <w:pStyle w:val="BodyText"/>
      </w:pPr>
      <w:r>
        <w:rPr>
          <w:iCs/>
          <w:i/>
        </w:rPr>
        <w:t xml:space="preserve">This Sales Report is produced for internal strategic use. All data sourced from Ontario Ministry of Education, Toronto District School Board 2023-24 Budget Documents, and EdTech Canada Market Analysis (Q1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Canada Toronto Market Analysis</dc:title>
  <dc:creator/>
  <dc:language>en</dc:language>
  <cp:keywords/>
  <dcterms:created xsi:type="dcterms:W3CDTF">2026-07-21T15:18:16Z</dcterms:created>
  <dcterms:modified xsi:type="dcterms:W3CDTF">2026-07-21T15:18:16Z</dcterms:modified>
</cp:coreProperties>
</file>

<file path=docProps/custom.xml><?xml version="1.0" encoding="utf-8"?>
<Properties xmlns="http://schemas.openxmlformats.org/officeDocument/2006/custom-properties" xmlns:vt="http://schemas.openxmlformats.org/officeDocument/2006/docPropsVTypes"/>
</file>