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Administration</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Beijing</w:t>
      </w:r>
      <w:r>
        <w:t xml:space="preserve"> </w:t>
      </w:r>
      <w:r>
        <w:t xml:space="preserve">Market</w:t>
      </w:r>
    </w:p>
    <w:bookmarkStart w:id="27" w:name="X9b5949a81dc1df04e2f4861133645fbe7b46b34"/>
    <w:p>
      <w:pPr>
        <w:pStyle w:val="Heading1"/>
      </w:pPr>
      <w:r>
        <w:t xml:space="preserve">2024 Q1 Sales Report: Education Administration Services in China Beijing</w:t>
      </w:r>
    </w:p>
    <w:p>
      <w:pPr>
        <w:pStyle w:val="FirstParagraph"/>
      </w:pPr>
      <w:r>
        <w:rPr>
          <w:bCs/>
          <w:b/>
        </w:rPr>
        <w:t xml:space="preserve">Date:</w:t>
      </w:r>
      <w:r>
        <w:t xml:space="preserve"> </w:t>
      </w:r>
      <w:r>
        <w:t xml:space="preserve">April 15, 2024</w:t>
      </w:r>
      <w:r>
        <w:br/>
      </w:r>
      <w:r>
        <w:rPr>
          <w:bCs/>
          <w:b/>
        </w:rPr>
        <w:t xml:space="preserve">Prepared For:</w:t>
      </w:r>
      <w:r>
        <w:t xml:space="preserve"> </w:t>
      </w:r>
      <w:r>
        <w:t xml:space="preserve">Executive Leadership, National Education Solutions Division</w:t>
      </w:r>
      <w:r>
        <w:br/>
      </w:r>
      <w:r>
        <w:rPr>
          <w:bCs/>
          <w:b/>
        </w:rPr>
        <w:t xml:space="preserve">Report Period:</w:t>
      </w:r>
      <w:r>
        <w:t xml:space="preserve"> </w:t>
      </w:r>
      <w:r>
        <w:t xml:space="preserve">January 1 – March 31, 2024</w:t>
      </w:r>
    </w:p>
    <w:bookmarkStart w:id="20" w:name="i.-executive-summary"/>
    <w:p>
      <w:pPr>
        <w:pStyle w:val="Heading2"/>
      </w:pPr>
      <w:r>
        <w:t xml:space="preserve">I. Executive Summary</w:t>
      </w:r>
    </w:p>
    <w:p>
      <w:pPr>
        <w:pStyle w:val="FirstParagraph"/>
      </w:pPr>
      <w:r>
        <w:t xml:space="preserve">This Sales Report details the performance of our Education Administration Service portfolio across Beijing, China—the nation’s most dynamic education market. As Beijing accelerates its strategic shift toward digitalized school management under the "Beijing Education 2035" initiative, our enterprise solutions for</w:t>
      </w:r>
      <w:r>
        <w:t xml:space="preserve"> </w:t>
      </w:r>
      <w:r>
        <w:rPr>
          <w:iCs/>
          <w:i/>
        </w:rPr>
        <w:t xml:space="preserve">Education Administrator</w:t>
      </w:r>
      <w:r>
        <w:t xml:space="preserve"> </w:t>
      </w:r>
      <w:r>
        <w:t xml:space="preserve">workflows have achieved remarkable traction. The quarter witnessed a 38% year-over-year increase in contract value (CNY 142 million), driven by demand for integrated administrative platforms serving K-12 institutions, private academies, and municipal education bureaus. This report confirms Beijing as our most valuable regional market for Education Administrator technology solutions.</w:t>
      </w:r>
    </w:p>
    <w:bookmarkEnd w:id="20"/>
    <w:bookmarkStart w:id="21" w:name="X8f75ca066daba9e97c1d29257a944f4613e5342"/>
    <w:p>
      <w:pPr>
        <w:pStyle w:val="Heading2"/>
      </w:pPr>
      <w:r>
        <w:t xml:space="preserve">II. Beijing Market Context &amp; Strategic Importance</w:t>
      </w:r>
    </w:p>
    <w:p>
      <w:pPr>
        <w:pStyle w:val="FirstParagraph"/>
      </w:pPr>
      <w:r>
        <w:t xml:space="preserve">Beijing’s education sector represents 18% of China’s national educational expenditure ($32.7 billion in 2023), with over 1,400 public schools and 350+ private institutions requiring modernized administrative systems. The Beijing Municipal Education Commission (BMEC) has mandated all schools to implement unified digital administration by Q4 2024, directly aligning with our service offerings. Our sales strategy in China Beijing leverages localized partnerships with BMEC-approved technology providers, ensuring compliance with the "Double Reduction" policy and data sovereignty requirements under China’s Cybersecurity Law.</w:t>
      </w:r>
    </w:p>
    <w:p>
      <w:pPr>
        <w:pStyle w:val="BodyText"/>
      </w:pPr>
      <w:r>
        <w:t xml:space="preserve">Key market catalysts include:</w:t>
      </w:r>
    </w:p>
    <w:p>
      <w:pPr>
        <w:numPr>
          <w:ilvl w:val="0"/>
          <w:numId w:val="1001"/>
        </w:numPr>
        <w:pStyle w:val="Compact"/>
      </w:pPr>
      <w:r>
        <w:rPr>
          <w:bCs/>
          <w:b/>
        </w:rPr>
        <w:t xml:space="preserve">Digital Transformation Push:</w:t>
      </w:r>
      <w:r>
        <w:t xml:space="preserve"> </w:t>
      </w:r>
      <w:r>
        <w:t xml:space="preserve">78% of Beijing schools now require AI-driven enrollment management and resource allocation tools (BMEC 2023 Survey).</w:t>
      </w:r>
    </w:p>
    <w:p>
      <w:pPr>
        <w:numPr>
          <w:ilvl w:val="0"/>
          <w:numId w:val="1001"/>
        </w:numPr>
        <w:pStyle w:val="Compact"/>
      </w:pPr>
      <w:r>
        <w:rPr>
          <w:bCs/>
          <w:b/>
        </w:rPr>
        <w:t xml:space="preserve">Private School Growth:</w:t>
      </w:r>
      <w:r>
        <w:t xml:space="preserve"> </w:t>
      </w:r>
      <w:r>
        <w:t xml:space="preserve">24 new international/private schools launched in Haidian &amp; Chaoyang districts during Q1, creating urgent demand for scalable Education Administrator systems.</w:t>
      </w:r>
    </w:p>
    <w:p>
      <w:pPr>
        <w:numPr>
          <w:ilvl w:val="0"/>
          <w:numId w:val="1001"/>
        </w:numPr>
        <w:pStyle w:val="Compact"/>
      </w:pPr>
      <w:r>
        <w:rPr>
          <w:bCs/>
          <w:b/>
        </w:rPr>
        <w:t xml:space="preserve">Policy Alignment:</w:t>
      </w:r>
      <w:r>
        <w:t xml:space="preserve"> </w:t>
      </w:r>
      <w:r>
        <w:t xml:space="preserve">Our platform’s real-time compliance dashboard supports Beijing’s "Smart School" certification criteria.</w:t>
      </w:r>
    </w:p>
    <w:bookmarkEnd w:id="21"/>
    <w:bookmarkStart w:id="22" w:name="X59d5158c7cc2414acba3607b36719af5ed8d94f"/>
    <w:p>
      <w:pPr>
        <w:pStyle w:val="Heading2"/>
      </w:pPr>
      <w:r>
        <w:t xml:space="preserve">III. Sales Performance: Key Metrics (Beijing Region)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Offering</w:t>
            </w:r>
          </w:p>
        </w:tc>
        <w:tc>
          <w:tcPr/>
          <w:p>
            <w:pPr>
              <w:pStyle w:val="Compact"/>
              <w:jc w:val="left"/>
            </w:pPr>
            <w:r>
              <w:t xml:space="preserve">Q1 2024 Contracts</w:t>
            </w:r>
          </w:p>
        </w:tc>
        <w:tc>
          <w:tcPr/>
          <w:p>
            <w:pPr>
              <w:pStyle w:val="Compact"/>
              <w:jc w:val="left"/>
            </w:pPr>
            <w:r>
              <w:t xml:space="preserve">% YoY Growth</w:t>
            </w:r>
          </w:p>
        </w:tc>
        <w:tc>
          <w:tcPr/>
          <w:p>
            <w:pPr>
              <w:pStyle w:val="Compact"/>
              <w:jc w:val="left"/>
            </w:pPr>
            <w:r>
              <w:t xml:space="preserve">Key Clients (Beijing)</w:t>
            </w:r>
          </w:p>
        </w:tc>
        <w:tc>
          <w:tcPr/>
          <w:p>
            <w:pPr>
              <w:pStyle w:val="Compact"/>
            </w:pPr>
          </w:p>
        </w:tc>
      </w:tr>
      <w:tr>
        <w:tc>
          <w:tcPr/>
          <w:p>
            <w:pPr>
              <w:pStyle w:val="Compact"/>
              <w:jc w:val="left"/>
            </w:pPr>
            <w:r>
              <w:t xml:space="preserve">Digital School Administration Suite</w:t>
            </w:r>
          </w:p>
        </w:tc>
        <w:tc>
          <w:tcPr/>
          <w:p>
            <w:pPr>
              <w:pStyle w:val="Compact"/>
              <w:jc w:val="left"/>
            </w:pPr>
            <w:r>
              <w:t xml:space="preserve">32 contracts</w:t>
            </w:r>
          </w:p>
        </w:tc>
        <w:tc>
          <w:tcPr/>
          <w:p>
            <w:pPr>
              <w:pStyle w:val="Compact"/>
              <w:jc w:val="left"/>
            </w:pPr>
            <w:r>
              <w:t xml:space="preserve">+41%</w:t>
            </w:r>
          </w:p>
        </w:tc>
        <w:tc>
          <w:tcPr/>
          <w:p>
            <w:pPr>
              <w:pStyle w:val="Compact"/>
              <w:jc w:val="left"/>
            </w:pPr>
            <w:r>
              <w:t xml:space="preserve">Haidian District Education Bureau, Beijing Xinhua International School</w:t>
            </w:r>
          </w:p>
        </w:tc>
        <w:tc>
          <w:tcPr/>
          <w:p>
            <w:pPr>
              <w:pStyle w:val="Compact"/>
            </w:pPr>
          </w:p>
        </w:tc>
      </w:tr>
      <w:tr>
        <w:tc>
          <w:tcPr/>
          <w:p>
            <w:pPr>
              <w:pStyle w:val="Compact"/>
              <w:jc w:val="left"/>
            </w:pPr>
            <w:r>
              <w:t xml:space="preserve">Automated Enrollment &amp; Compliance Module</w:t>
            </w:r>
          </w:p>
        </w:tc>
        <w:tc>
          <w:tcPr/>
          <w:p>
            <w:pPr>
              <w:pStyle w:val="Compact"/>
              <w:jc w:val="left"/>
            </w:pPr>
            <w:r>
              <w:t xml:space="preserve">27 contracts</w:t>
            </w:r>
          </w:p>
        </w:tc>
        <w:tc>
          <w:tcPr/>
          <w:p>
            <w:pPr>
              <w:pStyle w:val="Compact"/>
              <w:jc w:val="left"/>
            </w:pPr>
            <w:r>
              <w:t xml:space="preserve">+53%</w:t>
            </w:r>
          </w:p>
        </w:tc>
        <w:tc>
          <w:tcPr/>
          <w:p>
            <w:pPr>
              <w:pStyle w:val="Compact"/>
              <w:jc w:val="left"/>
            </w:pPr>
            <w:r>
              <w:t xml:space="preserve">Chaoyang Private Academy, Shunyi Foreign Language School</w:t>
            </w:r>
          </w:p>
        </w:tc>
        <w:tc>
          <w:tcPr/>
          <w:p>
            <w:pPr>
              <w:pStyle w:val="Compact"/>
            </w:pPr>
          </w:p>
        </w:tc>
      </w:tr>
      <w:tr>
        <w:tc>
          <w:tcPr/>
          <w:p>
            <w:pPr>
              <w:pStyle w:val="Compact"/>
              <w:jc w:val="left"/>
            </w:pPr>
            <w:r>
              <w:t xml:space="preserve">Administrator Training Program (Bilingual)</w:t>
            </w:r>
          </w:p>
        </w:tc>
        <w:tc>
          <w:tcPr/>
          <w:p>
            <w:pPr>
              <w:pStyle w:val="Compact"/>
              <w:jc w:val="left"/>
            </w:pPr>
            <w:r>
              <w:t xml:space="preserve">19 sessions</w:t>
            </w:r>
          </w:p>
        </w:tc>
        <w:tc>
          <w:tcPr/>
          <w:p>
            <w:pPr>
              <w:pStyle w:val="Compact"/>
              <w:jc w:val="left"/>
            </w:pPr>
            <w:r>
              <w:t xml:space="preserve">+28%</w:t>
            </w:r>
          </w:p>
        </w:tc>
        <w:tc>
          <w:tcPr/>
          <w:p>
            <w:pPr>
              <w:pStyle w:val="Compact"/>
              <w:jc w:val="left"/>
            </w:pPr>
            <w:r>
              <w:t xml:space="preserve">BMEC-certified training center network</w:t>
            </w:r>
          </w:p>
        </w:tc>
        <w:tc>
          <w:tcPr/>
          <w:p>
            <w:pPr>
              <w:pStyle w:val="Compact"/>
            </w:pPr>
          </w:p>
        </w:tc>
      </w:tr>
      <w:tr>
        <w:tc>
          <w:tcPr/>
          <w:p>
            <w:pPr>
              <w:pStyle w:val="Compact"/>
              <w:jc w:val="left"/>
            </w:pPr>
            <w:r>
              <w:t xml:space="preserve">Total Revenue (Beijing)</w:t>
            </w:r>
          </w:p>
        </w:tc>
        <w:tc>
          <w:tcPr/>
          <w:p>
            <w:pPr>
              <w:pStyle w:val="Compact"/>
              <w:jc w:val="left"/>
            </w:pPr>
            <w:r>
              <w:t xml:space="preserve">CNY 142.3 million</w:t>
            </w:r>
          </w:p>
        </w:tc>
        <w:tc>
          <w:tcPr/>
          <w:p>
            <w:pPr>
              <w:pStyle w:val="Compact"/>
              <w:jc w:val="left"/>
            </w:pPr>
            <w:r>
              <w:t xml:space="preserve">+38%</w:t>
            </w:r>
          </w:p>
        </w:tc>
        <w:tc>
          <w:tcPr>
            <w:gridSpan w:val="2"/>
          </w:tcPr>
          <w:p>
            <w:pPr>
              <w:pStyle w:val="Compact"/>
              <w:jc w:val="left"/>
            </w:pPr>
            <w:r>
              <w:t xml:space="preserve">Market Share: 27% (Top 1 in Beijing edtech admin services)</w:t>
            </w:r>
          </w:p>
        </w:tc>
      </w:tr>
    </w:tbl>
    <w:bookmarkEnd w:id="22"/>
    <w:bookmarkStart w:id="23" w:name="X8e39359982a316b2ff849884203af3f6947ecb6"/>
    <w:p>
      <w:pPr>
        <w:pStyle w:val="Heading2"/>
      </w:pPr>
      <w:r>
        <w:t xml:space="preserve">IV. Customer Success Story: Haidian District Education Bureau</w:t>
      </w:r>
    </w:p>
    <w:p>
      <w:pPr>
        <w:pStyle w:val="FirstParagraph"/>
      </w:pPr>
      <w:r>
        <w:t xml:space="preserve">The largest public education authority in Beijing (serving 340 schools) implemented our all-in-one Education Administrator platform in February 2024. This $18 million contract—our largest to date—delivered:</w:t>
      </w:r>
    </w:p>
    <w:p>
      <w:pPr>
        <w:numPr>
          <w:ilvl w:val="0"/>
          <w:numId w:val="1002"/>
        </w:numPr>
        <w:pStyle w:val="Compact"/>
      </w:pPr>
      <w:r>
        <w:t xml:space="preserve">50% faster processing of student enrollment and transfer requests</w:t>
      </w:r>
    </w:p>
    <w:p>
      <w:pPr>
        <w:numPr>
          <w:ilvl w:val="0"/>
          <w:numId w:val="1002"/>
        </w:numPr>
        <w:pStyle w:val="Compact"/>
      </w:pPr>
      <w:r>
        <w:t xml:space="preserve">Real-time compliance tracking for BMEC regulations</w:t>
      </w:r>
    </w:p>
    <w:p>
      <w:pPr>
        <w:numPr>
          <w:ilvl w:val="0"/>
          <w:numId w:val="1002"/>
        </w:numPr>
        <w:pStyle w:val="Compact"/>
      </w:pPr>
      <w:r>
        <w:t xml:space="preserve">AI-powered resource allocation reducing administrative overhead by 32%</w:t>
      </w:r>
    </w:p>
    <w:p>
      <w:pPr>
        <w:pStyle w:val="FirstParagraph"/>
      </w:pPr>
      <w:r>
        <w:t xml:space="preserve">"This platform transformed our Education Administrator workflows from manual to strategic," stated Ms. Li Wei, Director of Operations at Haidian Bureau. "It directly supports Beijing’s vision for data-driven education governance."</w:t>
      </w:r>
    </w:p>
    <w:bookmarkEnd w:id="23"/>
    <w:bookmarkStart w:id="24" w:name="Xa08735a8194ed8ac2660914656dd9e307920e41"/>
    <w:p>
      <w:pPr>
        <w:pStyle w:val="Heading2"/>
      </w:pPr>
      <w:r>
        <w:t xml:space="preserve">V. Challenges &amp; Mitigation Strategies in China Beijing</w:t>
      </w:r>
    </w:p>
    <w:p>
      <w:pPr>
        <w:pStyle w:val="FirstParagraph"/>
      </w:pPr>
      <w:r>
        <w:t xml:space="preserve">Despite strong growth, we navigated two critical challenges unique to the Beijing market:</w:t>
      </w:r>
    </w:p>
    <w:p>
      <w:pPr>
        <w:numPr>
          <w:ilvl w:val="0"/>
          <w:numId w:val="1003"/>
        </w:numPr>
        <w:pStyle w:val="Compact"/>
      </w:pPr>
      <w:r>
        <w:rPr>
          <w:bCs/>
          <w:b/>
        </w:rPr>
        <w:t xml:space="preserve">Regulatory Complexity:</w:t>
      </w:r>
      <w:r>
        <w:t xml:space="preserve"> </w:t>
      </w:r>
      <w:r>
        <w:t xml:space="preserve">BMEC’s evolving data localization requirements caused 15% project delay. *Mitigation:* We co-developed a Beijing-specific compliance module with local legal partners (Beijing Law Firm, 2024), ensuring all data remains within China’s sovereign cloud.</w:t>
      </w:r>
    </w:p>
    <w:p>
      <w:pPr>
        <w:numPr>
          <w:ilvl w:val="0"/>
          <w:numId w:val="1003"/>
        </w:numPr>
        <w:pStyle w:val="Compact"/>
      </w:pPr>
      <w:r>
        <w:rPr>
          <w:bCs/>
          <w:b/>
        </w:rPr>
        <w:t xml:space="preserve">Competitor Pressure:</w:t>
      </w:r>
      <w:r>
        <w:t xml:space="preserve"> </w:t>
      </w:r>
      <w:r>
        <w:t xml:space="preserve">Local firm "Beijing EduTech" undercut pricing in private school segments. *Mitigation:* We introduced tiered service packages—adding value through free BMEC certification support and 24/7 Mandarin-speaking administrator support.</w:t>
      </w:r>
    </w:p>
    <w:bookmarkEnd w:id="24"/>
    <w:bookmarkStart w:id="25" w:name="X0956091207563ad1b050dc6a0e3b26cf2f7470f"/>
    <w:p>
      <w:pPr>
        <w:pStyle w:val="Heading2"/>
      </w:pPr>
      <w:r>
        <w:t xml:space="preserve">VI. Future Outlook: Beijing Education Administrator Market</w:t>
      </w:r>
    </w:p>
    <w:p>
      <w:pPr>
        <w:pStyle w:val="FirstParagraph"/>
      </w:pPr>
      <w:r>
        <w:t xml:space="preserve">Our Q2 pipeline for China Beijing shows $89 million in committed opportunities, with focus areas aligned to national priorities:</w:t>
      </w:r>
    </w:p>
    <w:p>
      <w:pPr>
        <w:numPr>
          <w:ilvl w:val="0"/>
          <w:numId w:val="1004"/>
        </w:numPr>
        <w:pStyle w:val="Compact"/>
      </w:pPr>
      <w:r>
        <w:rPr>
          <w:bCs/>
          <w:b/>
        </w:rPr>
        <w:t xml:space="preserve">Predictive Resource Allocation:</w:t>
      </w:r>
      <w:r>
        <w:t xml:space="preserve"> </w:t>
      </w:r>
      <w:r>
        <w:t xml:space="preserve">AI models forecasting teacher shortages (target: 150+ schools by July)</w:t>
      </w:r>
    </w:p>
    <w:p>
      <w:pPr>
        <w:numPr>
          <w:ilvl w:val="0"/>
          <w:numId w:val="1004"/>
        </w:numPr>
        <w:pStyle w:val="Compact"/>
      </w:pPr>
      <w:r>
        <w:rPr>
          <w:bCs/>
          <w:b/>
        </w:rPr>
        <w:t xml:space="preserve">Multilingual Admin Support:</w:t>
      </w:r>
      <w:r>
        <w:t xml:space="preserve"> </w:t>
      </w:r>
      <w:r>
        <w:t xml:space="preserve">Expanding bilingual (Mandarin/English) tools for international schools in Beijing’s diplomatic zone</w:t>
      </w:r>
    </w:p>
    <w:p>
      <w:pPr>
        <w:numPr>
          <w:ilvl w:val="0"/>
          <w:numId w:val="1004"/>
        </w:numPr>
        <w:pStyle w:val="Compact"/>
      </w:pPr>
      <w:r>
        <w:rPr>
          <w:bCs/>
          <w:b/>
        </w:rPr>
        <w:t xml:space="preserve">Sustainability Compliance:</w:t>
      </w:r>
      <w:r>
        <w:t xml:space="preserve"> </w:t>
      </w:r>
      <w:r>
        <w:t xml:space="preserve">Integrating ESG tracking for school facilities under Beijing’s "Carbon Neutral Education" initiative</w:t>
      </w:r>
    </w:p>
    <w:p>
      <w:pPr>
        <w:pStyle w:val="FirstParagraph"/>
      </w:pPr>
      <w:r>
        <w:t xml:space="preserve">The Ministry of Education’s 2024 guidance on "Smart Administration as Core Infrastructure" positions Beijing as a national benchmark. We project 50% revenue growth in this segment by end-2024, with the city contributing 35% of our total China revenue.</w:t>
      </w:r>
    </w:p>
    <w:bookmarkEnd w:id="25"/>
    <w:bookmarkStart w:id="26" w:name="vii.-conclusion"/>
    <w:p>
      <w:pPr>
        <w:pStyle w:val="Heading2"/>
      </w:pPr>
      <w:r>
        <w:t xml:space="preserve">VII. Conclusion</w:t>
      </w:r>
    </w:p>
    <w:p>
      <w:pPr>
        <w:pStyle w:val="FirstParagraph"/>
      </w:pPr>
      <w:r>
        <w:t xml:space="preserve">The Beijing Education Administrator market is not merely a sales opportunity—it is a strategic imperative for China’s education transformation. This Sales Report confirms that our technology directly enables Beijing’s vision of efficient, compliant, and data-driven school administration. By embedding ourselves within BMEC policy frameworks and delivering measurable ROI for</w:t>
      </w:r>
      <w:r>
        <w:t xml:space="preserve"> </w:t>
      </w:r>
      <w:r>
        <w:rPr>
          <w:iCs/>
          <w:i/>
        </w:rPr>
        <w:t xml:space="preserve">Education Administrator</w:t>
      </w:r>
      <w:r>
        <w:t xml:space="preserve"> </w:t>
      </w:r>
      <w:r>
        <w:t xml:space="preserve">teams, we have established an unassailable position in China’s most sophisticated educational ecosystem. We recommend doubling down on Beijing through a dedicated local sales team (to be deployed Q2 2024) to capture the $1.8 billion anticipated market expansion by 2025.</w:t>
      </w:r>
    </w:p>
    <w:p>
      <w:pPr>
        <w:pStyle w:val="BodyText"/>
      </w:pPr>
      <w:r>
        <w:rPr>
          <w:bCs/>
          <w:b/>
        </w:rPr>
        <w:t xml:space="preserve">Prepared By:</w:t>
      </w:r>
      <w:r>
        <w:t xml:space="preserve"> </w:t>
      </w:r>
      <w:r>
        <w:t xml:space="preserve">National Sales Strategy Team</w:t>
      </w:r>
      <w:r>
        <w:br/>
      </w:r>
      <w:r>
        <w:rPr>
          <w:bCs/>
          <w:b/>
        </w:rPr>
        <w:t xml:space="preserve">Approved By:</w:t>
      </w:r>
      <w:r>
        <w:t xml:space="preserve"> </w:t>
      </w:r>
      <w:r>
        <w:t xml:space="preserve">Regional Director, Greater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Administration Sales Performance Report: China Beijing Market</dc:title>
  <dc:creator/>
  <cp:keywords/>
  <dcterms:created xsi:type="dcterms:W3CDTF">2026-07-21T04:11:03Z</dcterms:created>
  <dcterms:modified xsi:type="dcterms:W3CDTF">2026-07-21T04:11:03Z</dcterms:modified>
</cp:coreProperties>
</file>

<file path=docProps/custom.xml><?xml version="1.0" encoding="utf-8"?>
<Properties xmlns="http://schemas.openxmlformats.org/officeDocument/2006/custom-properties" xmlns:vt="http://schemas.openxmlformats.org/officeDocument/2006/docPropsVTypes"/>
</file>