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p>
    <w:bookmarkStart w:id="32" w:name="X39e8363584dd038db37babafaec02022e0d69bb"/>
    <w:p>
      <w:pPr>
        <w:pStyle w:val="Heading1"/>
      </w:pPr>
      <w:r>
        <w:t xml:space="preserve">Comprehensive Sales Performance Report for Education Administrator in Guangzhou, China</w:t>
      </w:r>
    </w:p>
    <w:bookmarkStart w:id="20" w:name="executive-summary"/>
    <w:p>
      <w:pPr>
        <w:pStyle w:val="Heading2"/>
      </w:pPr>
      <w:r>
        <w:t xml:space="preserve">Executive Summary</w:t>
      </w:r>
    </w:p>
    <w:p>
      <w:pPr>
        <w:pStyle w:val="FirstParagraph"/>
      </w:pPr>
      <w:r>
        <w:t xml:space="preserve">This report details the sales performance of our Education Administrator within the Guangzhou educational market during Q3 2023. Operating at the forefront of China's rapidly evolving education sector, this role has demonstrated exceptional strategic impact in securing key institutional partnerships across Guangzhou's public and private schools. With Guangzhou serving as a critical hub for China's educational innovation, our Education Administrator has successfully closed $1.85M in new contracts while expanding market share by 22% year-over-year. This report validates the indispensable role of specialized education sales leadership in navigating Guangzhou's unique regulatory landscape and cultural dynamics.</w:t>
      </w:r>
    </w:p>
    <w:bookmarkEnd w:id="20"/>
    <w:bookmarkStart w:id="21" w:name="X30f2b5ea7f80c049c102ffbd3b8bc0c2511cc85"/>
    <w:p>
      <w:pPr>
        <w:pStyle w:val="Heading2"/>
      </w:pPr>
      <w:r>
        <w:t xml:space="preserve">Market Context: Guangzhou Education Sector Overview</w:t>
      </w:r>
    </w:p>
    <w:p>
      <w:pPr>
        <w:pStyle w:val="FirstParagraph"/>
      </w:pPr>
      <w:r>
        <w:t xml:space="preserve">Guangzhou, as China's third-largest city and a provincial capital, represents a $4.7B annual education market with 12,800+ institutions. The city's strategic position as part of the Guangdong-Hong Kong-Macao Greater Bay Area accelerates demand for cutting-edge educational solutions. Recent policy shifts—including the 2023 Guangdong Education Reform Blueprint emphasizing digital transformation—have created unprecedented opportunities for providers offering AI-driven learning platforms and teacher training programs. Our Education Administrator has leveraged this momentum to position our solutions at the heart of Guangzhou's educational modernization strategy.</w:t>
      </w:r>
    </w:p>
    <w:bookmarkEnd w:id="21"/>
    <w:bookmarkStart w:id="22" w:name="key-sales-performance-metrics-q3-2023"/>
    <w:p>
      <w:pPr>
        <w:pStyle w:val="Heading2"/>
      </w:pPr>
      <w:r>
        <w:t xml:space="preserve">Key Sales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New Institutional Contracts</w:t>
      </w:r>
    </w:p>
    <w:p>
      <w:pPr>
        <w:pStyle w:val="BodyText"/>
      </w:pPr>
      <w:r>
        <w:t xml:space="preserve">18</w:t>
      </w:r>
    </w:p>
    <w:p>
      <w:pPr>
        <w:pStyle w:val="BodyText"/>
      </w:pPr>
      <w:r>
        <w:t xml:space="preserve">24</w:t>
      </w:r>
    </w:p>
    <w:p>
      <w:pPr>
        <w:pStyle w:val="BodyText"/>
      </w:pPr>
      <w:r>
        <w:t xml:space="preserve">+33.3%</w:t>
      </w:r>
    </w:p>
    <w:p>
      <w:pPr>
        <w:pStyle w:val="BodyText"/>
      </w:pPr>
      <w:r>
        <w:t xml:space="preserve">Total Revenue Generated</w:t>
      </w:r>
    </w:p>
    <w:p>
      <w:pPr>
        <w:pStyle w:val="BodyText"/>
      </w:pPr>
      <w:r>
        <w:t xml:space="preserve">$1.5M</w:t>
      </w:r>
    </w:p>
    <w:p>
      <w:pPr>
        <w:pStyle w:val="BodyText"/>
      </w:pPr>
      <w:r>
        <w:t xml:space="preserve">$1.85M</w:t>
      </w:r>
    </w:p>
    <w:p>
      <w:pPr>
        <w:pStyle w:val="BodyText"/>
      </w:pPr>
      <w:r>
        <w:t xml:space="preserve">Customer Acquisition Cost (CAC)</w:t>
      </w:r>
    </w:p>
    <w:p>
      <w:pPr>
        <w:pStyle w:val="BodyText"/>
      </w:pPr>
      <w:r>
        <w:t xml:space="preserve">Guangzhou Average CAC</w:t>
      </w:r>
    </w:p>
    <w:p>
      <w:pPr>
        <w:pStyle w:val="BodyText"/>
      </w:pPr>
      <w:r>
        <w:t xml:space="preserve">$28,600</w:t>
      </w:r>
    </w:p>
    <w:p>
      <w:pPr>
        <w:pStyle w:val="BodyText"/>
      </w:pPr>
      <w:r>
        <w:t xml:space="preserve">$22,300</w:t>
      </w:r>
    </w:p>
    <w:p>
      <w:pPr>
        <w:pStyle w:val="BodyText"/>
      </w:pPr>
      <w:r>
        <w:t xml:space="preserve">-21.7%</w:t>
      </w:r>
    </w:p>
    <w:p>
      <w:pPr>
        <w:pStyle w:val="BodyText"/>
      </w:pPr>
      <w:r>
        <w:t xml:space="preserve">Client Retention Rate</w:t>
      </w:r>
    </w:p>
    <w:p>
      <w:pPr>
        <w:pStyle w:val="BodyText"/>
      </w:pPr>
      <w:r>
        <w:t xml:space="preserve">Renewal Rate (Existing Clients)</w:t>
      </w:r>
    </w:p>
    <w:p>
      <w:pPr>
        <w:pStyle w:val="BodyText"/>
      </w:pPr>
      <w:r>
        <w:t xml:space="preserve">85%</w:t>
      </w:r>
    </w:p>
    <w:p>
      <w:pPr>
        <w:pStyle w:val="BodyText"/>
      </w:pPr>
      <w:r>
        <w:t xml:space="preserve">94%</w:t>
      </w:r>
    </w:p>
    <w:p>
      <w:pPr>
        <w:pStyle w:val="BodyText"/>
      </w:pPr>
      <w:r>
        <w:t xml:space="preserve">+9.0%</w:t>
      </w:r>
    </w:p>
    <w:bookmarkEnd w:id="22"/>
    <w:bookmarkStart w:id="26" w:name="X42a1e841307893d1c8119937876807d98df766e"/>
    <w:p>
      <w:pPr>
        <w:pStyle w:val="Heading2"/>
      </w:pPr>
      <w:r>
        <w:t xml:space="preserve">Critical Success Factors: Education Administrator's Strategic Approach</w:t>
      </w:r>
    </w:p>
    <w:p>
      <w:pPr>
        <w:pStyle w:val="FirstParagraph"/>
      </w:pPr>
      <w:r>
        <w:t xml:space="preserve">The Education Administrator's success in China Guangzhou hinges on three pillars:</w:t>
      </w:r>
    </w:p>
    <w:bookmarkStart w:id="23" w:name="cultural-intelligence-integration"/>
    <w:p>
      <w:pPr>
        <w:pStyle w:val="Heading3"/>
      </w:pPr>
      <w:r>
        <w:t xml:space="preserve">1. Cultural Intelligence Integration</w:t>
      </w:r>
    </w:p>
    <w:p>
      <w:pPr>
        <w:pStyle w:val="FirstParagraph"/>
      </w:pPr>
      <w:r>
        <w:t xml:space="preserve">Understanding Guangzhou's unique educational culture—where "guanxi" (relationship networks) and respect for academic hierarchy are paramount—the administrator cultivated partnerships through strategic community engagement. This included sponsoring the 2023 Guangzhou International Education Expo and collaborating with the Guangdong Education Association, resulting in 7 high-value school referrals through trusted channel partners.</w:t>
      </w:r>
    </w:p>
    <w:bookmarkEnd w:id="23"/>
    <w:bookmarkStart w:id="24" w:name="policy-aligned-solution-positioning"/>
    <w:p>
      <w:pPr>
        <w:pStyle w:val="Heading3"/>
      </w:pPr>
      <w:r>
        <w:t xml:space="preserve">2. Policy-Aligned Solution Positioning</w:t>
      </w:r>
    </w:p>
    <w:p>
      <w:pPr>
        <w:pStyle w:val="FirstParagraph"/>
      </w:pPr>
      <w:r>
        <w:t xml:space="preserve">By directly mapping our AI-powered assessment platform to Guangzhou's 2023 "Smart School" initiative requirements, the administrator secured contracts with 5 municipal education bureaus. The solution was rebranded as "Guangzhou Smart Learning Suite" to align with local policy terminology, accelerating approval processes by 40%.</w:t>
      </w:r>
    </w:p>
    <w:bookmarkEnd w:id="24"/>
    <w:bookmarkStart w:id="25" w:name="hyper-localized-sales-execution"/>
    <w:p>
      <w:pPr>
        <w:pStyle w:val="Heading3"/>
      </w:pPr>
      <w:r>
        <w:t xml:space="preserve">3. Hyper-Localized Sales Execution</w:t>
      </w:r>
    </w:p>
    <w:p>
      <w:pPr>
        <w:pStyle w:val="FirstParagraph"/>
      </w:pPr>
      <w:r>
        <w:t xml:space="preserve">Audit of Guangzhou's school-level procurement cycles revealed that 78% of contracts required final approval from district education offices (not individual schools). The administrator developed a tiered proposal framework addressing all approval levels, reducing sales cycle length from 120 to 65 days. This localized strategy generated $1.2M in direct municipal contracts—the highest in Guangdong province.</w:t>
      </w:r>
    </w:p>
    <w:bookmarkEnd w:id="25"/>
    <w:bookmarkEnd w:id="26"/>
    <w:bookmarkStart w:id="27" w:name="notable-achievements"/>
    <w:p>
      <w:pPr>
        <w:pStyle w:val="Heading2"/>
      </w:pPr>
      <w:r>
        <w:t xml:space="preserve">Notable Achievements</w:t>
      </w:r>
    </w:p>
    <w:p>
      <w:pPr>
        <w:numPr>
          <w:ilvl w:val="0"/>
          <w:numId w:val="1001"/>
        </w:numPr>
        <w:pStyle w:val="Compact"/>
      </w:pPr>
      <w:r>
        <w:rPr>
          <w:bCs/>
          <w:b/>
        </w:rPr>
        <w:t xml:space="preserve">First-Mover Advantage:</w:t>
      </w:r>
      <w:r>
        <w:t xml:space="preserve"> </w:t>
      </w:r>
      <w:r>
        <w:t xml:space="preserve">Secured pilot program with Guangzhou No. 1 Middle School (ranked #3 nationally) for AI grading system, serving as a flagship reference case across southern China.</w:t>
      </w:r>
    </w:p>
    <w:p>
      <w:pPr>
        <w:numPr>
          <w:ilvl w:val="0"/>
          <w:numId w:val="1001"/>
        </w:numPr>
        <w:pStyle w:val="Compact"/>
      </w:pPr>
      <w:r>
        <w:rPr>
          <w:bCs/>
          <w:b/>
        </w:rPr>
        <w:t xml:space="preserve">Regulatory Navigation:</w:t>
      </w:r>
      <w:r>
        <w:t xml:space="preserve"> </w:t>
      </w:r>
      <w:r>
        <w:t xml:space="preserve">Successfully obtained Ministry of Education certification for our platform under Guangzhou's new "Digital Teaching Materials" category—eliminating a major market barrier.</w:t>
      </w:r>
    </w:p>
    <w:p>
      <w:pPr>
        <w:numPr>
          <w:ilvl w:val="0"/>
          <w:numId w:val="1001"/>
        </w:numPr>
        <w:pStyle w:val="Compact"/>
      </w:pPr>
      <w:r>
        <w:rPr>
          <w:bCs/>
          <w:b/>
        </w:rPr>
        <w:t xml:space="preserve">Talent Development:</w:t>
      </w:r>
      <w:r>
        <w:t xml:space="preserve"> </w:t>
      </w:r>
      <w:r>
        <w:t xml:space="preserve">Trained 128 Guangzhou-based school administrators on solution implementation, creating an internal champion network that drove 37% of new referrals.</w:t>
      </w:r>
    </w:p>
    <w:bookmarkEnd w:id="27"/>
    <w:bookmarkStart w:id="28" w:name="challenges-and-strategic-adaptations"/>
    <w:p>
      <w:pPr>
        <w:pStyle w:val="Heading2"/>
      </w:pPr>
      <w:r>
        <w:t xml:space="preserve">Challenges and Strategic Adaptations</w:t>
      </w:r>
    </w:p>
    <w:p>
      <w:pPr>
        <w:pStyle w:val="FirstParagraph"/>
      </w:pPr>
      <w:r>
        <w:t xml:space="preserve">The administrator faced significant obstacles including:</w:t>
      </w:r>
    </w:p>
    <w:p>
      <w:pPr>
        <w:numPr>
          <w:ilvl w:val="0"/>
          <w:numId w:val="1002"/>
        </w:numPr>
        <w:pStyle w:val="Compact"/>
      </w:pPr>
      <w:r>
        <w:rPr>
          <w:bCs/>
          <w:b/>
        </w:rPr>
        <w:t xml:space="preserve">Policy Volatility:</w:t>
      </w:r>
      <w:r>
        <w:t xml:space="preserve"> </w:t>
      </w:r>
      <w:r>
        <w:t xml:space="preserve">Sudden revision to Guangdong's data privacy regulations in May 2023 requiring platform redesign. The administrator expedited compliance through direct engagement with Guangzhou Education Bureau officials, avoiding $450K in potential revenue loss.</w:t>
      </w:r>
    </w:p>
    <w:p>
      <w:pPr>
        <w:numPr>
          <w:ilvl w:val="0"/>
          <w:numId w:val="1002"/>
        </w:numPr>
        <w:pStyle w:val="Compact"/>
      </w:pPr>
      <w:r>
        <w:rPr>
          <w:bCs/>
          <w:b/>
        </w:rPr>
        <w:t xml:space="preserve">Cultural Missteps:</w:t>
      </w:r>
      <w:r>
        <w:t xml:space="preserve"> </w:t>
      </w:r>
      <w:r>
        <w:t xml:space="preserve">Initial proposal using Western classroom metrics alienated teachers. The solution was reconfigured to incorporate "Guangdong Teaching Standards" and local assessment rubrics, boosting acceptance by 63%.</w:t>
      </w:r>
    </w:p>
    <w:bookmarkEnd w:id="28"/>
    <w:bookmarkStart w:id="29" w:name="X63854d1b04a550a61dc217416998d0c46783400"/>
    <w:p>
      <w:pPr>
        <w:pStyle w:val="Heading2"/>
      </w:pPr>
      <w:r>
        <w:t xml:space="preserve">Future Roadmap for Guangzhou Market Expansion</w:t>
      </w:r>
    </w:p>
    <w:p>
      <w:pPr>
        <w:pStyle w:val="FirstParagraph"/>
      </w:pPr>
      <w:r>
        <w:t xml:space="preserve">Based on Q3 performance, the Education Administrator proposes these strategic priorities for Q4 2023:</w:t>
      </w:r>
    </w:p>
    <w:p>
      <w:pPr>
        <w:numPr>
          <w:ilvl w:val="0"/>
          <w:numId w:val="1003"/>
        </w:numPr>
        <w:pStyle w:val="Compact"/>
      </w:pPr>
      <w:r>
        <w:rPr>
          <w:bCs/>
          <w:b/>
        </w:rPr>
        <w:t xml:space="preserve">Target Tier-1 Districts:</w:t>
      </w:r>
      <w:r>
        <w:t xml:space="preserve"> </w:t>
      </w:r>
      <w:r>
        <w:t xml:space="preserve">Focus on Yuexiu and Tianhe districts (accounting for 41% of Guangzhou's premium school market) with dedicated district sales teams.</w:t>
      </w:r>
    </w:p>
    <w:p>
      <w:pPr>
        <w:numPr>
          <w:ilvl w:val="0"/>
          <w:numId w:val="1003"/>
        </w:numPr>
        <w:pStyle w:val="Compact"/>
      </w:pPr>
      <w:r>
        <w:rPr>
          <w:bCs/>
          <w:b/>
        </w:rPr>
        <w:t xml:space="preserve">Government Partnership Program:</w:t>
      </w:r>
      <w:r>
        <w:t xml:space="preserve"> </w:t>
      </w:r>
      <w:r>
        <w:t xml:space="preserve">Co-develop "Guangzhou Teacher Digital Competency Certification" with Education Bureau to embed our platform in provincial training curricula.</w:t>
      </w:r>
    </w:p>
    <w:p>
      <w:pPr>
        <w:numPr>
          <w:ilvl w:val="0"/>
          <w:numId w:val="1003"/>
        </w:numPr>
        <w:pStyle w:val="Compact"/>
      </w:pPr>
      <w:r>
        <w:rPr>
          <w:bCs/>
          <w:b/>
        </w:rPr>
        <w:t xml:space="preserve">AI Localization Initiative:</w:t>
      </w:r>
      <w:r>
        <w:t xml:space="preserve"> </w:t>
      </w:r>
      <w:r>
        <w:t xml:space="preserve">Deploy Mandarin-language AI tutor trained on Guangdong province's exam patterns, addressing 89% of local teachers' content requests.</w:t>
      </w:r>
    </w:p>
    <w:bookmarkEnd w:id="29"/>
    <w:bookmarkStart w:id="31" w:name="conclusion"/>
    <w:p>
      <w:pPr>
        <w:pStyle w:val="Heading2"/>
      </w:pPr>
      <w:r>
        <w:t xml:space="preserve">Conclusion</w:t>
      </w:r>
    </w:p>
    <w:p>
      <w:pPr>
        <w:pStyle w:val="FirstParagraph"/>
      </w:pPr>
      <w:r>
        <w:t xml:space="preserve">The Education Administrator role in China Guangzhou has evolved from transactional sales to strategic market leadership. By embedding our solutions within Guangzhou's educational ecosystem—through policy alignment, cultural intelligence, and hyper-local execution—we've established a sustainable revenue engine generating $3.1M annual pipeline growth. This report affirms that specialized education sales leadership is not merely beneficial but essential for success in Guangzhou's complex educational marketplace. As the city advances toward its 2025 Smart Education Goal, our Education Administrator will remain pivotal in converting policy opportunities into market leadership, driving both organizational growth and meaningful educational transformation across Guangdong Province.</w:t>
      </w:r>
    </w:p>
    <w:bookmarkStart w:id="30" w:name="appendix-key-market-data-sources"/>
    <w:p>
      <w:pPr>
        <w:pStyle w:val="Heading3"/>
      </w:pPr>
      <w:r>
        <w:t xml:space="preserve">Appendix: Key Market Data Sources</w:t>
      </w:r>
    </w:p>
    <w:p>
      <w:pPr>
        <w:numPr>
          <w:ilvl w:val="0"/>
          <w:numId w:val="1004"/>
        </w:numPr>
        <w:pStyle w:val="Compact"/>
      </w:pPr>
      <w:r>
        <w:t xml:space="preserve">Guangzhou Municipal Bureau of Education Annual Report 2023</w:t>
      </w:r>
    </w:p>
    <w:p>
      <w:pPr>
        <w:numPr>
          <w:ilvl w:val="0"/>
          <w:numId w:val="1004"/>
        </w:numPr>
        <w:pStyle w:val="Compact"/>
      </w:pPr>
      <w:r>
        <w:t xml:space="preserve">Guangdong Provincial Education Development Plan (2021-2035)</w:t>
      </w:r>
    </w:p>
    <w:p>
      <w:pPr>
        <w:numPr>
          <w:ilvl w:val="0"/>
          <w:numId w:val="1004"/>
        </w:numPr>
        <w:pStyle w:val="Compact"/>
      </w:pPr>
      <w:r>
        <w:t xml:space="preserve">CESI China Educational Technology Market Analysis Q3 2023</w:t>
      </w:r>
    </w:p>
    <w:p>
      <w:pPr>
        <w:pStyle w:val="FirstParagraph"/>
      </w:pPr>
      <w:r>
        <w:rPr>
          <w:iCs/>
          <w:i/>
        </w:rPr>
        <w:t xml:space="preserve">Prepared by: Global Education Solutions, Guangzhou Sales Intelligence Unit</w:t>
      </w:r>
      <w:r>
        <w:br/>
      </w:r>
      <w:r>
        <w:rPr>
          <w:iCs/>
          <w:i/>
        </w:rPr>
        <w:t xml:space="preserve">Date: October 15, 2023 | Confidential - For Internal Use Only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China Guangzhou Market</dc:title>
  <dc:creator/>
  <dc:language>en</dc:language>
  <cp:keywords/>
  <dcterms:created xsi:type="dcterms:W3CDTF">2026-07-23T08:54:00Z</dcterms:created>
  <dcterms:modified xsi:type="dcterms:W3CDTF">2026-07-23T08:54:00Z</dcterms:modified>
</cp:coreProperties>
</file>

<file path=docProps/custom.xml><?xml version="1.0" encoding="utf-8"?>
<Properties xmlns="http://schemas.openxmlformats.org/officeDocument/2006/custom-properties" xmlns:vt="http://schemas.openxmlformats.org/officeDocument/2006/docPropsVTypes"/>
</file>