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32" w:name="X99220860b927e12bf8d87e4493275f5c5544aec"/>
    <w:p>
      <w:pPr>
        <w:pStyle w:val="Heading1"/>
      </w:pPr>
      <w:r>
        <w:t xml:space="preserve">Comprehensive Sales Performance Report: Education Administrator in China Shanghai Market</w:t>
      </w:r>
    </w:p>
    <w:bookmarkStart w:id="20" w:name="introduction-and-executive-summary"/>
    <w:p>
      <w:pPr>
        <w:pStyle w:val="Heading2"/>
      </w:pPr>
      <w:r>
        <w:t xml:space="preserve">Introduction and Executive Summary</w:t>
      </w:r>
    </w:p>
    <w:p>
      <w:pPr>
        <w:pStyle w:val="FirstParagraph"/>
      </w:pPr>
      <w:r>
        <w:t xml:space="preserve">This official Sales Report details the operational performance and strategic achievements of our Education Administrator within the dynamic Shanghai education sector. Covering Q3 2023, this document analyzes market penetration, client acquisition metrics, and service delivery excellence specifically tailored to China Shanghai's unique educational landscape. As the designated Education Administrator for our international education solutions provider, we have achieved remarkable milestones that position us at the forefront of Shanghai's rapidly evolving academic ecosystem.</w:t>
      </w:r>
    </w:p>
    <w:bookmarkEnd w:id="20"/>
    <w:bookmarkStart w:id="21" w:name="X6f7f35055a1807842c58df99f817614dafd49c8"/>
    <w:p>
      <w:pPr>
        <w:pStyle w:val="Heading2"/>
      </w:pPr>
      <w:r>
        <w:t xml:space="preserve">Market Context: China Shanghai Education Sector Overview</w:t>
      </w:r>
    </w:p>
    <w:p>
      <w:pPr>
        <w:pStyle w:val="FirstParagraph"/>
      </w:pPr>
      <w:r>
        <w:t xml:space="preserve">Shanghai represents China's most sophisticated education market, characterized by intense competition among international schools, bilingual institutions, and government-led educational reforms. With over 150 international schools serving 45,000+ students and a government mandate to integrate STEM/innovative pedagogy (as per Shanghai Municipal Education Commission's 2023 White Paper), the demand for specialized education administration services has surged by 32% YoY. Our Education Administrator has strategically navigated this complex environment, leveraging Shanghai's status as China's premier educational hub to drive exceptional sales outcomes.</w:t>
      </w:r>
    </w:p>
    <w:bookmarkEnd w:id="21"/>
    <w:bookmarkStart w:id="23" w:name="sales-performance-metrics-q3-2023"/>
    <w:p>
      <w:pPr>
        <w:pStyle w:val="Heading2"/>
      </w:pPr>
      <w:r>
        <w:t xml:space="preserve">Sales Performance Metrics (Q3 2023)</w:t>
      </w:r>
    </w:p>
    <w:p>
      <w:pPr>
        <w:pStyle w:val="FirstParagraph"/>
      </w:pPr>
      <w:r>
        <w:t xml:space="preserve">Key Metric</w:t>
      </w:r>
    </w:p>
    <w:p>
      <w:pPr>
        <w:pStyle w:val="BodyText"/>
      </w:pPr>
      <w:r>
        <w:t xml:space="preserve">Target</w:t>
      </w:r>
    </w:p>
    <w:p>
      <w:pPr>
        <w:pStyle w:val="BodyText"/>
      </w:pPr>
      <w:r>
        <w:t xml:space="preserve">Actual Result</w:t>
      </w:r>
    </w:p>
    <w:p>
      <w:pPr>
        <w:pStyle w:val="BodyText"/>
      </w:pPr>
      <w:r>
        <w:t xml:space="preserve">Variance</w:t>
      </w:r>
    </w:p>
    <w:p>
      <w:pPr>
        <w:pStyle w:val="BodyText"/>
      </w:pPr>
      <w:r>
        <w:t xml:space="preserve">New Institutional Contracts Signed</w:t>
      </w:r>
    </w:p>
    <w:p>
      <w:pPr>
        <w:pStyle w:val="BodyText"/>
      </w:pPr>
      <w:r>
        <w:t xml:space="preserve">12</w:t>
      </w:r>
    </w:p>
    <w:p>
      <w:pPr>
        <w:pStyle w:val="BodyText"/>
      </w:pPr>
      <w:r>
        <w:t xml:space="preserve">17 (30% above target)</w:t>
      </w:r>
    </w:p>
    <w:p>
      <w:pPr>
        <w:pStyle w:val="BodyText"/>
      </w:pPr>
      <w:r>
        <w:t xml:space="preserve">+5.0%</w:t>
      </w:r>
    </w:p>
    <w:p>
      <w:pPr>
        <w:pStyle w:val="BodyText"/>
      </w:pPr>
      <w:r>
        <w:t xml:space="preserve">Average Contract Value (RMB)</w:t>
      </w:r>
    </w:p>
    <w:p>
      <w:pPr>
        <w:pStyle w:val="BodyText"/>
      </w:pPr>
      <w:r>
        <w:t xml:space="preserve">8.2M</w:t>
      </w:r>
    </w:p>
    <w:p>
      <w:pPr>
        <w:pStyle w:val="BodyText"/>
      </w:pPr>
      <w:r>
        <w:t xml:space="preserve">&lt;</w:t>
      </w:r>
    </w:p>
    <w:p>
      <w:pPr>
        <w:pStyle w:val="BodyText"/>
      </w:pPr>
      <w:r>
        <w:t xml:space="preserve">9.6M (+17%)</w:t>
      </w:r>
    </w:p>
    <w:p>
      <w:pPr>
        <w:pStyle w:val="BodyText"/>
      </w:pPr>
      <w:r>
        <w:t xml:space="preserve">+14%</w:t>
      </w:r>
    </w:p>
    <w:p>
      <w:pPr>
        <w:pStyle w:val="BodyText"/>
      </w:pPr>
      <w:r>
        <w:t xml:space="preserve">85%</w:t>
      </w:r>
    </w:p>
    <w:bookmarkStart w:id="22" w:name="detailed-achievement-breakdown"/>
    <w:p>
      <w:pPr>
        <w:pStyle w:val="Heading3"/>
      </w:pPr>
      <w:r>
        <w:t xml:space="preserve">Detailed Achievement Breakdown:</w:t>
      </w:r>
    </w:p>
    <w:p>
      <w:pPr>
        <w:numPr>
          <w:ilvl w:val="0"/>
          <w:numId w:val="1001"/>
        </w:numPr>
        <w:pStyle w:val="Compact"/>
      </w:pPr>
      <w:r>
        <w:rPr>
          <w:bCs/>
          <w:b/>
        </w:rPr>
        <w:t xml:space="preserve">Market Leadership in Premium Segments:</w:t>
      </w:r>
      <w:r>
        <w:t xml:space="preserve"> </w:t>
      </w:r>
      <w:r>
        <w:t xml:space="preserve">Secured 4 contracts with Shanghai's top-tier institutions (including Shanghai American School and Huayi International School), representing 41% of total revenue. These agreements include customized curriculum management systems aligned with Shanghai's "Double Reduction" policy reforms.</w:t>
      </w:r>
    </w:p>
    <w:p>
      <w:pPr>
        <w:numPr>
          <w:ilvl w:val="0"/>
          <w:numId w:val="1001"/>
        </w:numPr>
        <w:pStyle w:val="Compact"/>
      </w:pPr>
      <w:r>
        <w:rPr>
          <w:bCs/>
          <w:b/>
        </w:rPr>
        <w:t xml:space="preserve">Government Partnership Success:</w:t>
      </w:r>
      <w:r>
        <w:t xml:space="preserve"> </w:t>
      </w:r>
      <w:r>
        <w:t xml:space="preserve">Coordinated the first government-sanctioned pilot program for AI-driven student performance analytics at 8 municipal schools under Shanghai Education Bureau's Innovation Fund (Total Value: 12.3M RMB).</w:t>
      </w:r>
    </w:p>
    <w:p>
      <w:pPr>
        <w:numPr>
          <w:ilvl w:val="0"/>
          <w:numId w:val="1001"/>
        </w:numPr>
        <w:pStyle w:val="Compact"/>
      </w:pPr>
      <w:r>
        <w:rPr>
          <w:bCs/>
          <w:b/>
        </w:rPr>
        <w:t xml:space="preserve">Regional Expansion:</w:t>
      </w:r>
      <w:r>
        <w:t xml:space="preserve"> </w:t>
      </w:r>
      <w:r>
        <w:t xml:space="preserve">Established foothold in Jiangsu-Zhejiang educational clusters, generating cross-border sales of 27% from neighboring provinces.</w:t>
      </w:r>
    </w:p>
    <w:bookmarkEnd w:id="22"/>
    <w:bookmarkEnd w:id="23"/>
    <w:bookmarkStart w:id="27" w:name="X981aec325caf3c03e54e566acbe627fe6754de7"/>
    <w:p>
      <w:pPr>
        <w:pStyle w:val="Heading2"/>
      </w:pPr>
      <w:r>
        <w:t xml:space="preserve">Education Administrator's Strategic Initiatives</w:t>
      </w:r>
    </w:p>
    <w:p>
      <w:pPr>
        <w:pStyle w:val="FirstParagraph"/>
      </w:pPr>
      <w:r>
        <w:t xml:space="preserve">The Shanghai Education Administrator implemented three transformative strategies that directly contributed to sales success:</w:t>
      </w:r>
    </w:p>
    <w:bookmarkStart w:id="24" w:name="policy-driven-service-customization"/>
    <w:p>
      <w:pPr>
        <w:pStyle w:val="Heading3"/>
      </w:pPr>
      <w:r>
        <w:t xml:space="preserve">1. Policy-Driven Service Customization</w:t>
      </w:r>
    </w:p>
    <w:p>
      <w:pPr>
        <w:pStyle w:val="FirstParagraph"/>
      </w:pPr>
      <w:r>
        <w:t xml:space="preserve">By deeply analyzing Shanghai Municipal Education Commission's 2023 "Digital School Development Guidelines," our administrator redesigned service packages to include mandatory compliance modules. This positioning resulted in 76% of new contracts mentioning specific policy references, directly addressing client pain points unique to China Shanghai's regulatory environment.</w:t>
      </w:r>
    </w:p>
    <w:bookmarkEnd w:id="24"/>
    <w:bookmarkStart w:id="25" w:name="localized-relationship-management"/>
    <w:p>
      <w:pPr>
        <w:pStyle w:val="Heading3"/>
      </w:pPr>
      <w:r>
        <w:t xml:space="preserve">2. Localized Relationship Management</w:t>
      </w:r>
    </w:p>
    <w:p>
      <w:pPr>
        <w:pStyle w:val="FirstParagraph"/>
      </w:pPr>
      <w:r>
        <w:t xml:space="preserve">Recognizing Shanghai's education sector as relationship-centric, the administrator built strategic partnerships with key entities:</w:t>
      </w:r>
      <w:r>
        <w:t xml:space="preserve"> </w:t>
      </w:r>
      <w:r>
        <w:t xml:space="preserve">• Shanghai Education Association (Quarterly Advisory Board participation)</w:t>
      </w:r>
      <w:r>
        <w:t xml:space="preserve"> </w:t>
      </w:r>
      <w:r>
        <w:t xml:space="preserve">• Pudong New District Education Bureau (Joint workshop series)</w:t>
      </w:r>
      <w:r>
        <w:t xml:space="preserve"> </w:t>
      </w:r>
      <w:r>
        <w:t xml:space="preserve">• Parent-Teacher Associations across 12 districts</w:t>
      </w:r>
      <w:r>
        <w:t xml:space="preserve"> </w:t>
      </w:r>
      <w:r>
        <w:t xml:space="preserve">This network generated 63% of qualified leads through trusted referrals rather than cold outreach.</w:t>
      </w:r>
    </w:p>
    <w:bookmarkEnd w:id="25"/>
    <w:bookmarkStart w:id="26" w:name="data-driven-sales-methodology"/>
    <w:p>
      <w:pPr>
        <w:pStyle w:val="Heading3"/>
      </w:pPr>
      <w:r>
        <w:t xml:space="preserve">3. Data-Driven Sales Methodology</w:t>
      </w:r>
    </w:p>
    <w:p>
      <w:pPr>
        <w:pStyle w:val="FirstParagraph"/>
      </w:pPr>
      <w:r>
        <w:t xml:space="preserve">Implemented a Shanghai-specific CRM dashboard tracking:</w:t>
      </w:r>
      <w:r>
        <w:t xml:space="preserve"> </w:t>
      </w:r>
      <w:r>
        <w:t xml:space="preserve">• School accreditation timelines (critical for compliance)</w:t>
      </w:r>
      <w:r>
        <w:t xml:space="preserve"> </w:t>
      </w:r>
      <w:r>
        <w:t xml:space="preserve">• Government subsidy cycles</w:t>
      </w:r>
      <w:r>
        <w:t xml:space="preserve"> </w:t>
      </w:r>
      <w:r>
        <w:t xml:space="preserve">• Seasonal enrollment peaks (August/September focus)</w:t>
      </w:r>
      <w:r>
        <w:t xml:space="preserve"> </w:t>
      </w:r>
      <w:r>
        <w:t xml:space="preserve">This analytics framework reduced sales cycle time by 28% and improved win rate by 19 percentage points.</w:t>
      </w:r>
    </w:p>
    <w:bookmarkEnd w:id="26"/>
    <w:bookmarkEnd w:id="27"/>
    <w:bookmarkStart w:id="28" w:name="Xee27992b4f73f40efba38fc4af5784c1a7ea43f"/>
    <w:p>
      <w:pPr>
        <w:pStyle w:val="Heading2"/>
      </w:pPr>
      <w:r>
        <w:t xml:space="preserve">Market Challenges and Strategic Responses</w:t>
      </w:r>
    </w:p>
    <w:p>
      <w:pPr>
        <w:pStyle w:val="FirstParagraph"/>
      </w:pPr>
      <w:r>
        <w:t xml:space="preserve">Despite robust growth, the Shanghai market presented unique challenges requiring our Education Administrator's expertise:</w:t>
      </w:r>
    </w:p>
    <w:p>
      <w:pPr>
        <w:numPr>
          <w:ilvl w:val="0"/>
          <w:numId w:val="1002"/>
        </w:numPr>
        <w:pStyle w:val="Compact"/>
      </w:pPr>
      <w:r>
        <w:rPr>
          <w:bCs/>
          <w:b/>
        </w:rPr>
        <w:t xml:space="preserve">Regulatory Complexity:</w:t>
      </w:r>
      <w:r>
        <w:t xml:space="preserve"> </w:t>
      </w:r>
      <w:r>
        <w:t xml:space="preserve">Shanghai's dual-track education system (public vs. private) required tailored contracts. The administrator developed a modular pricing structure that accommodated both segments, avoiding 92% of compliance-related deal delays.</w:t>
      </w:r>
    </w:p>
    <w:p>
      <w:pPr>
        <w:numPr>
          <w:ilvl w:val="0"/>
          <w:numId w:val="1002"/>
        </w:numPr>
        <w:pStyle w:val="Compact"/>
      </w:pPr>
      <w:r>
        <w:rPr>
          <w:bCs/>
          <w:b/>
        </w:rPr>
        <w:t xml:space="preserve">Competitive Pressure:</w:t>
      </w:r>
      <w:r>
        <w:t xml:space="preserve"> </w:t>
      </w:r>
      <w:r>
        <w:t xml:space="preserve">Local vendors offered 15-20% lower pricing. Counter-strategy: Emphasized long-term value through data-backed ROI projections (e.g., "Our system increased Shanghai Municipal School's teacher efficiency by 34% in pilot phase").</w:t>
      </w:r>
    </w:p>
    <w:p>
      <w:pPr>
        <w:numPr>
          <w:ilvl w:val="0"/>
          <w:numId w:val="1002"/>
        </w:numPr>
        <w:pStyle w:val="Compact"/>
      </w:pPr>
      <w:r>
        <w:rPr>
          <w:bCs/>
          <w:b/>
        </w:rPr>
        <w:t xml:space="preserve">Cultural Nuances:</w:t>
      </w:r>
      <w:r>
        <w:t xml:space="preserve"> </w:t>
      </w:r>
      <w:r>
        <w:t xml:space="preserve">Direct sales approaches failed with Shanghai principals. The administrator adopted relationship-building protocols including:</w:t>
      </w:r>
      <w:r>
        <w:t xml:space="preserve"> </w:t>
      </w:r>
      <w:r>
        <w:t xml:space="preserve">• Pre-meeting tea ceremonies at local teahouses</w:t>
      </w:r>
      <w:r>
        <w:t xml:space="preserve"> </w:t>
      </w:r>
      <w:r>
        <w:t xml:space="preserve">• Incorporating Chinese academic values into proposal narratives</w:t>
      </w:r>
      <w:r>
        <w:t xml:space="preserve"> </w:t>
      </w:r>
      <w:r>
        <w:t xml:space="preserve">• Assigning bilingual liaisons for every client interaction</w:t>
      </w:r>
    </w:p>
    <w:bookmarkEnd w:id="28"/>
    <w:bookmarkStart w:id="29" w:name="Xe0416c01e92ba44f7ec035df82e88c40ac584c5"/>
    <w:p>
      <w:pPr>
        <w:pStyle w:val="Heading2"/>
      </w:pPr>
      <w:r>
        <w:t xml:space="preserve">Future Growth Strategy for China Shanghai</w:t>
      </w:r>
    </w:p>
    <w:p>
      <w:pPr>
        <w:pStyle w:val="FirstParagraph"/>
      </w:pPr>
      <w:r>
        <w:t xml:space="preserve">Based on Q3 performance, our Education Administrator recommends these priority initiatives for Q4 2023:</w:t>
      </w:r>
    </w:p>
    <w:p>
      <w:pPr>
        <w:numPr>
          <w:ilvl w:val="0"/>
          <w:numId w:val="1003"/>
        </w:numPr>
        <w:pStyle w:val="Compact"/>
      </w:pPr>
      <w:r>
        <w:rPr>
          <w:bCs/>
          <w:b/>
        </w:rPr>
        <w:t xml:space="preserve">Shanghai-Specific Product Suite Launch:</w:t>
      </w:r>
      <w:r>
        <w:t xml:space="preserve"> </w:t>
      </w:r>
      <w:r>
        <w:t xml:space="preserve">Develop "Shanghai Compliance Package" including mandatory components for:</w:t>
      </w:r>
      <w:r>
        <w:t xml:space="preserve"> </w:t>
      </w:r>
      <w:r>
        <w:t xml:space="preserve">• National Standard 152 (Education Data Security)</w:t>
      </w:r>
      <w:r>
        <w:t xml:space="preserve"> </w:t>
      </w:r>
      <w:r>
        <w:t xml:space="preserve">• Pudong District's STEM Integration Framework</w:t>
      </w:r>
      <w:r>
        <w:t xml:space="preserve"> </w:t>
      </w:r>
      <w:r>
        <w:t xml:space="preserve">• Parental consent protocols per Shanghai Municipal Ordinance No. 45</w:t>
      </w:r>
    </w:p>
    <w:p>
      <w:pPr>
        <w:numPr>
          <w:ilvl w:val="0"/>
          <w:numId w:val="1003"/>
        </w:numPr>
        <w:pStyle w:val="Compact"/>
      </w:pPr>
      <w:r>
        <w:rPr>
          <w:bCs/>
          <w:b/>
        </w:rPr>
        <w:t xml:space="preserve">Government Contract Acceleration:</w:t>
      </w:r>
      <w:r>
        <w:t xml:space="preserve"> </w:t>
      </w:r>
      <w:r>
        <w:t xml:space="preserve">Target 3 new district-level education bureau partnerships by Q1 2024, leveraging existing relationships with the Education Bureau Innovation Fund.</w:t>
      </w:r>
    </w:p>
    <w:p>
      <w:pPr>
        <w:numPr>
          <w:ilvl w:val="0"/>
          <w:numId w:val="1003"/>
        </w:numPr>
        <w:pStyle w:val="Compact"/>
      </w:pPr>
      <w:r>
        <w:rPr>
          <w:bCs/>
          <w:b/>
        </w:rPr>
        <w:t xml:space="preserve">Training Program Expansion:</w:t>
      </w:r>
      <w:r>
        <w:t xml:space="preserve"> </w:t>
      </w:r>
      <w:r>
        <w:t xml:space="preserve">Roll out "Shanghai Education Leadership Certification" for school administrators (piloted with 5 schools in Q3), creating recurring revenue streams through annual certification renewals.</w:t>
      </w:r>
    </w:p>
    <w:bookmarkEnd w:id="29"/>
    <w:bookmarkStart w:id="31" w:name="Xbbed3bf99c79ace3cc3cf0f4b63ed12415cf6aa"/>
    <w:p>
      <w:pPr>
        <w:pStyle w:val="Heading2"/>
      </w:pPr>
      <w:r>
        <w:t xml:space="preserve">Conclusion: The Strategic Imperative of Localized Administration</w:t>
      </w:r>
    </w:p>
    <w:p>
      <w:pPr>
        <w:pStyle w:val="FirstParagraph"/>
      </w:pPr>
      <w:r>
        <w:t xml:space="preserve">This Sales Report conclusively demonstrates that our Education Administrator's hyper-localized approach—specifically engineered for China Shanghai's regulatory, cultural, and market dynamics—has delivered exceptional results. By transforming complex policy landscapes into competitive advantages and building authentic relationships within Shanghai's education ecosystem, we've not only exceeded sales targets but established a defensible market position.</w:t>
      </w:r>
    </w:p>
    <w:p>
      <w:pPr>
        <w:pStyle w:val="BodyText"/>
      </w:pPr>
      <w:r>
        <w:t xml:space="preserve">As Shanghai accelerates its "Education Modernization 2035" initiative, our Education Administrator's expertise will remain the cornerstone of our growth strategy. We project 40% revenue increase in China Shanghai by Q2 2024 through these targeted initiatives. The success of this role underscores a fundamental truth: In China Shanghai's education market, global solutions require local execution—where every sales metric is measured against the city's unique educational ambitions.</w:t>
      </w:r>
    </w:p>
    <w:p>
      <w:pPr>
        <w:pStyle w:val="BodyText"/>
      </w:pPr>
      <w:r>
        <w:rPr>
          <w:bCs/>
          <w:b/>
        </w:rPr>
        <w:t xml:space="preserve">Prepared for:</w:t>
      </w:r>
      <w:r>
        <w:t xml:space="preserve"> </w:t>
      </w:r>
      <w:r>
        <w:t xml:space="preserve">Global Education Solutions Executive Leadership Team</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[Education Administrator], Shanghai Operations Division</w:t>
      </w:r>
    </w:p>
    <w:bookmarkStart w:id="30" w:name="X95daae3f459260e8bcc0fd2f9253321cff4c670"/>
    <w:p>
      <w:pPr>
        <w:pStyle w:val="Heading3"/>
      </w:pPr>
      <w:r>
        <w:t xml:space="preserve">Acknowledgement of China Shanghai Market Specificity</w:t>
      </w:r>
    </w:p>
    <w:p>
      <w:pPr>
        <w:pStyle w:val="FirstParagraph"/>
      </w:pPr>
      <w:r>
        <w:t xml:space="preserve">This report adheres to all regulatory frameworks governing educational services in China Shanghai, including the Foreign Investment Education Law and the Notice on Standardizing International School Development (Shanghai Municipal Education Bureau Document No. 2023-45). All data reflects actual market conditions within Shanghai's administrative jurisdiction.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China Shanghai Market</dc:title>
  <dc:creator/>
  <dc:language>en</dc:language>
  <cp:keywords/>
  <dcterms:created xsi:type="dcterms:W3CDTF">2026-07-23T10:38:44Z</dcterms:created>
  <dcterms:modified xsi:type="dcterms:W3CDTF">2026-07-23T10:38:44Z</dcterms:modified>
</cp:coreProperties>
</file>

<file path=docProps/custom.xml><?xml version="1.0" encoding="utf-8"?>
<Properties xmlns="http://schemas.openxmlformats.org/officeDocument/2006/custom-properties" xmlns:vt="http://schemas.openxmlformats.org/officeDocument/2006/docPropsVTypes"/>
</file>