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Bogotá,</w:t>
      </w:r>
      <w:r>
        <w:t xml:space="preserve"> </w:t>
      </w:r>
      <w:r>
        <w:t xml:space="preserve">Colombia</w:t>
      </w:r>
    </w:p>
    <w:bookmarkStart w:id="29" w:name="X7ea3438ce6611ff5f33cc32879a58ab49eae694"/>
    <w:p>
      <w:pPr>
        <w:pStyle w:val="Heading1"/>
      </w:pPr>
      <w:r>
        <w:t xml:space="preserve">Sales Report: Education Administrator Performance Analysis in Bogotá, Colombia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Inc.</w:t>
      </w:r>
      <w:r>
        <w:br/>
      </w:r>
      <w:r>
        <w:rPr>
          <w:bCs/>
          <w:b/>
        </w:rPr>
        <w:t xml:space="preserve">Location Focus:</w:t>
      </w:r>
      <w:r>
        <w:t xml:space="preserve"> </w:t>
      </w:r>
      <w:r>
        <w:t xml:space="preserve">Bogotá, Colombia</w:t>
      </w:r>
    </w:p>
    <w:bookmarkStart w:id="20" w:name="i.-executive-summary"/>
    <w:p>
      <w:pPr>
        <w:pStyle w:val="Heading2"/>
      </w:pPr>
      <w:r>
        <w:t xml:space="preserve">I. Executive Summary</w:t>
      </w:r>
    </w:p>
    <w:p>
      <w:pPr>
        <w:pStyle w:val="FirstParagraph"/>
      </w:pPr>
      <w:r>
        <w:t xml:space="preserve">This report details the sales performance of Education Administrators within Colombia's Bogotá educational market during Q3 2023. As pivotal roles driving institutional partnerships and revenue growth, Education Administrators in Bogotá achieved a remarkable 18% year-over-year increase in contract acquisitions, surpassing regional targets by 22%. This success underscores Bogotá's strategic importance as Colombia's primary educational hub, where our solutions now serve over 147 public and private institutions. The report analyzes key performance indicators, market dynamics, and actionable recommendations to sustain growth within Colombia's evolving education sector.</w:t>
      </w:r>
    </w:p>
    <w:bookmarkEnd w:id="20"/>
    <w:bookmarkStart w:id="21" w:name="X1ed7f1440647229153813414da99e403c675bad"/>
    <w:p>
      <w:pPr>
        <w:pStyle w:val="Heading2"/>
      </w:pPr>
      <w:r>
        <w:t xml:space="preserve">II. Market Context: Education Sector in Bogotá</w:t>
      </w:r>
    </w:p>
    <w:p>
      <w:pPr>
        <w:pStyle w:val="FirstParagraph"/>
      </w:pPr>
      <w:r>
        <w:t xml:space="preserve">Bogotá represents Colombia's largest educational market, housing 43% of the country's higher education institutions and serving over 1.8 million students across 986 schools (National Ministry of Education, Q2 2023). The city's demand for digital learning solutions has surged by 37% since 2021 due to government initiatives like "Escuelas Digitales" and growing private sector investment. Education Administrators in Bogotá operate within this high-potential environment but face unique challenges: bureaucratic procurement cycles averaging 98 days, budget constraints in public institutions (68% of schools), and intense competition from local edtech firms. Our sales strategy focused on building trust through cultural fluency—leveraging bilingual administrators with deep knowledge of Colombian education policies.</w:t>
      </w:r>
    </w:p>
    <w:bookmarkEnd w:id="21"/>
    <w:bookmarkStart w:id="24" w:name="iii.-sales-performance-breakdown"/>
    <w:p>
      <w:pPr>
        <w:pStyle w:val="Heading2"/>
      </w:pPr>
      <w:r>
        <w:t xml:space="preserve">III. Sales Performance Breakdown</w:t>
      </w:r>
    </w:p>
    <w:bookmarkStart w:id="22" w:name="a.-key-metrics-q3-2023-vs-q3-2022"/>
    <w:p>
      <w:pPr>
        <w:pStyle w:val="Heading3"/>
      </w:pPr>
      <w:r>
        <w:t xml:space="preserve">A. Key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New Institutional Contracts (Bogotá)</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Total Revenue Generated</w:t>
            </w:r>
          </w:p>
        </w:tc>
        <w:tc>
          <w:tcPr/>
          <w:p>
            <w:pPr>
              <w:pStyle w:val="Compact"/>
              <w:jc w:val="left"/>
            </w:pPr>
            <w:r>
              <w:t xml:space="preserve">$1,248,500 USD</w:t>
            </w:r>
          </w:p>
        </w:tc>
        <w:tc>
          <w:tcPr/>
          <w:p>
            <w:pPr>
              <w:pStyle w:val="Compact"/>
              <w:jc w:val="left"/>
            </w:pPr>
            <w:r>
              <w:t xml:space="preserve">$1,056,200 USD</w:t>
            </w:r>
          </w:p>
        </w:tc>
        <w:tc>
          <w:tcPr/>
          <w:p>
            <w:pPr>
              <w:pStyle w:val="Compact"/>
              <w:jc w:val="left"/>
            </w:pPr>
            <w:r>
              <w:t xml:space="preserve">+18.2%</w:t>
            </w:r>
          </w:p>
        </w:tc>
      </w:tr>
      <w:tr>
        <w:tc>
          <w:tcPr/>
          <w:p>
            <w:pPr>
              <w:pStyle w:val="Compact"/>
              <w:jc w:val="left"/>
            </w:pPr>
            <w:r>
              <w:t xml:space="preserve">Conversion Rate (Lead to Contract)</w:t>
            </w:r>
          </w:p>
        </w:tc>
        <w:tc>
          <w:tcPr/>
          <w:p>
            <w:pPr>
              <w:pStyle w:val="Compact"/>
              <w:jc w:val="left"/>
            </w:pPr>
            <w:r>
              <w:t xml:space="preserve">34.7%</w:t>
            </w:r>
          </w:p>
        </w:tc>
        <w:tc>
          <w:tcPr/>
          <w:p>
            <w:pPr>
              <w:pStyle w:val="Compact"/>
              <w:jc w:val="left"/>
            </w:pPr>
            <w:r>
              <w:t xml:space="preserve">29.1%</w:t>
            </w:r>
          </w:p>
        </w:tc>
        <w:tc>
          <w:tcPr/>
          <w:p>
            <w:pPr>
              <w:pStyle w:val="Compact"/>
              <w:jc w:val="left"/>
            </w:pPr>
            <w:r>
              <w:t xml:space="preserve">+5.6 pp</w:t>
            </w:r>
          </w:p>
        </w:tc>
      </w:tr>
      <w:tr>
        <w:tc>
          <w:tcPr/>
          <w:p>
            <w:pPr>
              <w:pStyle w:val="Compact"/>
              <w:jc w:val="left"/>
            </w:pPr>
            <w:r>
              <w:t xml:space="preserve">Average Deal Size</w:t>
            </w:r>
          </w:p>
        </w:tc>
        <w:tc>
          <w:tcPr/>
          <w:p>
            <w:pPr>
              <w:pStyle w:val="Compact"/>
              <w:jc w:val="left"/>
            </w:pPr>
            <w:r>
              <w:t xml:space="preserve">$26,564 USD</w:t>
            </w:r>
          </w:p>
        </w:tc>
        <w:tc>
          <w:tcPr/>
          <w:p>
            <w:pPr>
              <w:pStyle w:val="Compact"/>
              <w:jc w:val="left"/>
            </w:pPr>
            <w:r>
              <w:t xml:space="preserve">$27,795 USD</w:t>
            </w:r>
          </w:p>
        </w:tc>
        <w:tc>
          <w:tcPr/>
          <w:p>
            <w:pPr>
              <w:pStyle w:val="Compact"/>
              <w:jc w:val="left"/>
            </w:pPr>
            <w:r>
              <w:t xml:space="preserve">-4.4%</w:t>
            </w:r>
          </w:p>
        </w:tc>
      </w:tr>
    </w:tbl>
    <w:bookmarkEnd w:id="22"/>
    <w:bookmarkStart w:id="23" w:name="b.-regional-sales-distribution-in-bogotá"/>
    <w:p>
      <w:pPr>
        <w:pStyle w:val="Heading3"/>
      </w:pPr>
      <w:r>
        <w:t xml:space="preserve">B. Regional Sales Distribution in Bogotá</w:t>
      </w:r>
    </w:p>
    <w:p>
      <w:pPr>
        <w:pStyle w:val="FirstParagraph"/>
      </w:pPr>
      <w:r>
        <w:t xml:space="preserve">Education Administrators demonstrated exceptional geographic coverage across Bogotá's 20 districts:</w:t>
      </w:r>
    </w:p>
    <w:p>
      <w:pPr>
        <w:numPr>
          <w:ilvl w:val="0"/>
          <w:numId w:val="1001"/>
        </w:numPr>
        <w:pStyle w:val="Compact"/>
      </w:pPr>
      <w:r>
        <w:rPr>
          <w:bCs/>
          <w:b/>
        </w:rPr>
        <w:t xml:space="preserve">Puente Aranda &amp; La Cabrera (12%):</w:t>
      </w:r>
      <w:r>
        <w:t xml:space="preserve"> </w:t>
      </w:r>
      <w:r>
        <w:t xml:space="preserve">Highest conversion rate (41%) driven by partnerships with elite private schools like Colegio San José.</w:t>
      </w:r>
    </w:p>
    <w:p>
      <w:pPr>
        <w:numPr>
          <w:ilvl w:val="0"/>
          <w:numId w:val="1001"/>
        </w:numPr>
        <w:pStyle w:val="Compact"/>
      </w:pPr>
      <w:r>
        <w:rPr>
          <w:bCs/>
          <w:b/>
        </w:rPr>
        <w:t xml:space="preserve">Bosa &amp; Kennedy (38%):</w:t>
      </w:r>
      <w:r>
        <w:t xml:space="preserve"> </w:t>
      </w:r>
      <w:r>
        <w:t xml:space="preserve">Largest volume segment (18 contracts), focusing on public school digitalization programs supported by the Bogotá City Council.</w:t>
      </w:r>
    </w:p>
    <w:p>
      <w:pPr>
        <w:numPr>
          <w:ilvl w:val="0"/>
          <w:numId w:val="1001"/>
        </w:numPr>
        <w:pStyle w:val="Compact"/>
      </w:pPr>
      <w:r>
        <w:rPr>
          <w:bCs/>
          <w:b/>
        </w:rPr>
        <w:t xml:space="preserve">Chapinero &amp; Usaquén (24%):</w:t>
      </w:r>
      <w:r>
        <w:t xml:space="preserve"> </w:t>
      </w:r>
      <w:r>
        <w:t xml:space="preserve">Premium sector with high-value deals ($35k+ average) targeting international schools and universities.</w:t>
      </w:r>
    </w:p>
    <w:bookmarkEnd w:id="23"/>
    <w:bookmarkEnd w:id="24"/>
    <w:bookmarkStart w:id="25" w:name="X2467090fc2875dc2ff6ae3927176eddd6a48210"/>
    <w:p>
      <w:pPr>
        <w:pStyle w:val="Heading2"/>
      </w:pPr>
      <w:r>
        <w:t xml:space="preserve">IV. Success Drivers: Education Administrator Impact</w:t>
      </w:r>
    </w:p>
    <w:p>
      <w:pPr>
        <w:pStyle w:val="FirstParagraph"/>
      </w:pPr>
      <w:r>
        <w:t xml:space="preserve">The 18% YoY growth directly correlates to the strategic execution of Education Administrators through three key initiatives:</w:t>
      </w:r>
    </w:p>
    <w:p>
      <w:pPr>
        <w:numPr>
          <w:ilvl w:val="0"/>
          <w:numId w:val="1002"/>
        </w:numPr>
        <w:pStyle w:val="Compact"/>
      </w:pPr>
      <w:r>
        <w:rPr>
          <w:bCs/>
          <w:b/>
        </w:rPr>
        <w:t xml:space="preserve">Cultural Integration:</w:t>
      </w:r>
      <w:r>
        <w:t xml:space="preserve"> </w:t>
      </w:r>
      <w:r>
        <w:t xml:space="preserve">All Bogotá-based administrators completed mandatory training on Colombian education policy (Ley 1639 de 2013, Decree 2458), enabling them to navigate municipal procurement processes. Administrator María López secured a $420k contract with Bogotá's Secretaría de Educación by aligning solutions with their "Aula Virtual" requirements.</w:t>
      </w:r>
    </w:p>
    <w:p>
      <w:pPr>
        <w:numPr>
          <w:ilvl w:val="0"/>
          <w:numId w:val="1002"/>
        </w:numPr>
        <w:pStyle w:val="Compact"/>
      </w:pPr>
      <w:r>
        <w:rPr>
          <w:bCs/>
          <w:b/>
        </w:rPr>
        <w:t xml:space="preserve">Relationship Capital:</w:t>
      </w:r>
      <w:r>
        <w:t xml:space="preserve"> </w:t>
      </w:r>
      <w:r>
        <w:t xml:space="preserve">Education Administrators maintained 12+ monthly touchpoints with key stakeholders (rectors, municipal education officers). This resulted in a 53% referral rate from existing clients—critical in Bogotá's relationship-driven market.</w:t>
      </w:r>
    </w:p>
    <w:p>
      <w:pPr>
        <w:numPr>
          <w:ilvl w:val="0"/>
          <w:numId w:val="1002"/>
        </w:numPr>
        <w:pStyle w:val="Compact"/>
      </w:pPr>
      <w:r>
        <w:rPr>
          <w:bCs/>
          <w:b/>
        </w:rPr>
        <w:t xml:space="preserve">Localized Value Proposition:</w:t>
      </w:r>
      <w:r>
        <w:t xml:space="preserve"> </w:t>
      </w:r>
      <w:r>
        <w:t xml:space="preserve">Instead of generic sales pitches, administrators emphasized Colombia-specific benefits: 24/7 Spanish-speaking support (reducing IT ticket resolution time by 68%), compliance with SISBEN social classification system, and integration with Colombia's national platform "Mineduc".</w:t>
      </w:r>
    </w:p>
    <w:bookmarkEnd w:id="25"/>
    <w:bookmarkStart w:id="26" w:name="v.-challenges-mitigation-strategies"/>
    <w:p>
      <w:pPr>
        <w:pStyle w:val="Heading2"/>
      </w:pPr>
      <w:r>
        <w:t xml:space="preserve">V. Challenges &amp; Mitigation Strategies</w:t>
      </w:r>
    </w:p>
    <w:p>
      <w:pPr>
        <w:pStyle w:val="FirstParagraph"/>
      </w:pPr>
      <w:r>
        <w:t xml:space="preserve">Despite strong results, Education Administrators faced significant obstacles in Bogotá:</w:t>
      </w:r>
    </w:p>
    <w:p>
      <w:pPr>
        <w:numPr>
          <w:ilvl w:val="0"/>
          <w:numId w:val="1003"/>
        </w:numPr>
        <w:pStyle w:val="Compact"/>
      </w:pPr>
      <w:r>
        <w:rPr>
          <w:bCs/>
          <w:b/>
        </w:rPr>
        <w:t xml:space="preserve">Bureaucratic Delays:</w:t>
      </w:r>
      <w:r>
        <w:t xml:space="preserve"> </w:t>
      </w:r>
      <w:r>
        <w:t xml:space="preserve">Public sector contracts required 3+ approval layers. *Mitigation:* Administrators now co-create proposal timelines with clients during initial meetings, including buffer periods for municipal sign-offs.</w:t>
      </w:r>
    </w:p>
    <w:p>
      <w:pPr>
        <w:numPr>
          <w:ilvl w:val="0"/>
          <w:numId w:val="1003"/>
        </w:numPr>
        <w:pStyle w:val="Compact"/>
      </w:pPr>
      <w:r>
        <w:rPr>
          <w:bCs/>
          <w:b/>
        </w:rPr>
        <w:t xml:space="preserve">Economic Volatility:</w:t>
      </w:r>
      <w:r>
        <w:t xml:space="preserve"> </w:t>
      </w:r>
      <w:r>
        <w:t xml:space="preserve">42% of public schools reduced IT budgets in Q3 due to national budget cuts. *Mitigation:* Sales team introduced "phased implementation" pricing (e.g., $15k for core modules first), securing 70% of affected leads as future contracts.</w:t>
      </w:r>
    </w:p>
    <w:p>
      <w:pPr>
        <w:numPr>
          <w:ilvl w:val="0"/>
          <w:numId w:val="1003"/>
        </w:numPr>
        <w:pStyle w:val="Compact"/>
      </w:pPr>
      <w:r>
        <w:rPr>
          <w:bCs/>
          <w:b/>
        </w:rPr>
        <w:t xml:space="preserve">Competitor Pressure:</w:t>
      </w:r>
      <w:r>
        <w:t xml:space="preserve"> </w:t>
      </w:r>
      <w:r>
        <w:t xml:space="preserve">Local vendor "EduCol" offered 12% lower prices. *Mitigation:* Education Administrators pivoted to value-based selling, demonstrating 5-year TCO savings through our cloud infrastructure (averaging $98k savings per school).</w:t>
      </w:r>
    </w:p>
    <w:bookmarkEnd w:id="26"/>
    <w:bookmarkStart w:id="27" w:name="Xf05a7a024b78095822c3d7fd16518021a666091"/>
    <w:p>
      <w:pPr>
        <w:pStyle w:val="Heading2"/>
      </w:pPr>
      <w:r>
        <w:t xml:space="preserve">VI. Strategic Recommendations for Bogotá Market</w:t>
      </w:r>
    </w:p>
    <w:p>
      <w:pPr>
        <w:numPr>
          <w:ilvl w:val="0"/>
          <w:numId w:val="1004"/>
        </w:numPr>
        <w:pStyle w:val="Compact"/>
      </w:pPr>
      <w:r>
        <w:rPr>
          <w:bCs/>
          <w:b/>
        </w:rPr>
        <w:t xml:space="preserve">Scale Bilingual Administrator Network:</w:t>
      </w:r>
      <w:r>
        <w:t xml:space="preserve"> </w:t>
      </w:r>
      <w:r>
        <w:t xml:space="preserve">Recruit 5 additional Education Administrators with native Spanish fluency and Colombia-specific experience (current ratio: 1 admin per 30 schools). Target graduates from Universidad Nacional de Colombia and Universidad de Los Andes to build institutional credibility.</w:t>
      </w:r>
    </w:p>
    <w:p>
      <w:pPr>
        <w:numPr>
          <w:ilvl w:val="0"/>
          <w:numId w:val="1004"/>
        </w:numPr>
        <w:pStyle w:val="Compact"/>
      </w:pPr>
      <w:r>
        <w:rPr>
          <w:bCs/>
          <w:b/>
        </w:rPr>
        <w:t xml:space="preserve">Develop Bogotá-Specific Training Modules:</w:t>
      </w:r>
      <w:r>
        <w:t xml:space="preserve"> </w:t>
      </w:r>
      <w:r>
        <w:t xml:space="preserve">Create certification programs on key municipal policies like "Bogotá Educadora" (2023-2026) to deepen administrator expertise beyond national regulations.</w:t>
      </w:r>
    </w:p>
    <w:p>
      <w:pPr>
        <w:numPr>
          <w:ilvl w:val="0"/>
          <w:numId w:val="1004"/>
        </w:numPr>
        <w:pStyle w:val="Compact"/>
      </w:pPr>
      <w:r>
        <w:rPr>
          <w:bCs/>
          <w:b/>
        </w:rPr>
        <w:t xml:space="preserve">Prioritize Public-Private Partnerships:</w:t>
      </w:r>
      <w:r>
        <w:t xml:space="preserve"> </w:t>
      </w:r>
      <w:r>
        <w:t xml:space="preserve">Leverage Bogotá's public school digitalization fund ($185M allocated in 2023) to co-develop solutions with the Secretaría de Educación, targeting 15+ new contracts by Q2 2024.</w:t>
      </w:r>
    </w:p>
    <w:p>
      <w:pPr>
        <w:numPr>
          <w:ilvl w:val="0"/>
          <w:numId w:val="1004"/>
        </w:numPr>
        <w:pStyle w:val="Compact"/>
      </w:pPr>
      <w:r>
        <w:rPr>
          <w:bCs/>
          <w:b/>
        </w:rPr>
        <w:t xml:space="preserve">Implement Regional Sales Analytics Dashboard:</w:t>
      </w:r>
      <w:r>
        <w:t xml:space="preserve"> </w:t>
      </w:r>
      <w:r>
        <w:t xml:space="preserve">Track real-time KPIs by district (e.g., conversion rates in Bosa vs. Chapinero) to optimize resource allocation within Bogotá's diverse educational landscape.</w:t>
      </w:r>
    </w:p>
    <w:bookmarkEnd w:id="27"/>
    <w:bookmarkStart w:id="28" w:name="vii.-conclusion"/>
    <w:p>
      <w:pPr>
        <w:pStyle w:val="Heading2"/>
      </w:pPr>
      <w:r>
        <w:t xml:space="preserve">VII. Conclusion</w:t>
      </w:r>
    </w:p>
    <w:p>
      <w:pPr>
        <w:pStyle w:val="FirstParagraph"/>
      </w:pPr>
      <w:r>
        <w:t xml:space="preserve">The Education Administrator role has proven indispensable to our commercial success in Bogotá, Colombia. These professionals have not only met but exceeded sales targets through culturally intelligent relationship management and strategic alignment with Colombia's education priorities. As Bogotá continues to lead Colombia's educational transformation, we project a 25% revenue increase for the full fiscal year (2023) driven by this team. To sustain momentum, we recommend doubling down on local talent development while maintaining our commitment to delivering solutions that solve Bogotá's unique educational challenges. The data is unequivocal: In Colombia's capital city, where education innovation is accelerating daily, the Education Administrator isn't just a sales position—they are the bridge between global technology and Colombian classroom realities.</w:t>
      </w:r>
    </w:p>
    <w:p>
      <w:pPr>
        <w:pStyle w:val="BodyText"/>
      </w:pPr>
      <w:r>
        <w:rPr>
          <w:iCs/>
          <w:i/>
        </w:rPr>
        <w:t xml:space="preserve">Prepared by: Global Sales Analytics Team | Educational Solutions Inc.</w:t>
      </w:r>
      <w:r>
        <w:br/>
      </w:r>
      <w:r>
        <w:rPr>
          <w:iCs/>
          <w:i/>
        </w:rPr>
        <w:t xml:space="preserve">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Bogotá, Colombia</dc:title>
  <dc:creator/>
  <dc:language>en</dc:language>
  <cp:keywords/>
  <dcterms:created xsi:type="dcterms:W3CDTF">2026-07-23T16:05:12Z</dcterms:created>
  <dcterms:modified xsi:type="dcterms:W3CDTF">2026-07-23T16:05:12Z</dcterms:modified>
</cp:coreProperties>
</file>

<file path=docProps/custom.xml><?xml version="1.0" encoding="utf-8"?>
<Properties xmlns="http://schemas.openxmlformats.org/officeDocument/2006/custom-properties" xmlns:vt="http://schemas.openxmlformats.org/officeDocument/2006/docPropsVTypes"/>
</file>