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Sector</w:t>
      </w:r>
      <w:r>
        <w:t xml:space="preserve"> </w:t>
      </w:r>
      <w:r>
        <w:t xml:space="preserve">Sales</w:t>
      </w:r>
      <w:r>
        <w:t xml:space="preserve"> </w:t>
      </w:r>
      <w:r>
        <w:t xml:space="preserve">Report:</w:t>
      </w:r>
      <w:r>
        <w:t xml:space="preserve"> </w:t>
      </w:r>
      <w:r>
        <w:t xml:space="preserve">Colombia</w:t>
      </w:r>
      <w:r>
        <w:t xml:space="preserve"> </w:t>
      </w:r>
      <w:r>
        <w:t xml:space="preserve">Medellín</w:t>
      </w:r>
    </w:p>
    <w:bookmarkStart w:id="27" w:name="Xaf5bba5c40d02968c1120c33fb461e1635de750"/>
    <w:p>
      <w:pPr>
        <w:pStyle w:val="Heading1"/>
      </w:pPr>
      <w:r>
        <w:t xml:space="preserve">Comprehensive Sales Report: Education Administrator Performance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Latin American Education Division</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strategic performance of our Education Administrator team across Colombia Medellín during the third quarter of 2023. As pivotal sales roles within our Latin American operations, Education Administrators have driven exceptional growth in Medellín's education sector through targeted solutions addressing regional challenges. The report confirms a 34% YoY increase in institutional contracts and establishes new benchmarks for service adoption across public and private educational institutions. Our success in Colombia Medellín demonstrates how specialized Education Administrator engagement directly correlates with market penetration in Colombia's most dynamic urban education hub.</w:t>
      </w:r>
    </w:p>
    <w:bookmarkEnd w:id="20"/>
    <w:bookmarkStart w:id="21" w:name="X753002ee2a488c5ba992fe19ba21db97148df6b"/>
    <w:p>
      <w:pPr>
        <w:pStyle w:val="Heading2"/>
      </w:pPr>
      <w:r>
        <w:t xml:space="preserve">II. Market Context: Education Landscape in Medellín, Colombia</w:t>
      </w:r>
    </w:p>
    <w:p>
      <w:pPr>
        <w:pStyle w:val="FirstParagraph"/>
      </w:pPr>
      <w:r>
        <w:t xml:space="preserve">Medellín represents a critical growth frontier for educational innovation in Colombia. With over 1,200 public and private institutions serving 580,000 students across the city's 16 communes, Medellín's education sector faces unique challenges including resource distribution gaps (particularly in marginalized neighborhoods like Comuna 13 and La América), digital transition demands post-pandemic, and alignment with national reforms like</w:t>
      </w:r>
      <w:r>
        <w:t xml:space="preserve"> </w:t>
      </w:r>
      <w:r>
        <w:rPr>
          <w:iCs/>
          <w:i/>
        </w:rPr>
        <w:t xml:space="preserve">Colombia Aprende</w:t>
      </w:r>
      <w:r>
        <w:t xml:space="preserve">. Our Sales Report identifies these factors as key drivers for our Education Administrator strategy. In Q3 alone, 72% of Medellín institutions sought solutions addressing student data management (48%), teacher training platforms (31%), and community engagement tools (21%) – directly informing our sales approach.</w:t>
      </w:r>
    </w:p>
    <w:bookmarkEnd w:id="21"/>
    <w:bookmarkStart w:id="22" w:name="Xde9eb91f7105f77c20cb33c38a7024de4325f59"/>
    <w:p>
      <w:pPr>
        <w:pStyle w:val="Heading2"/>
      </w:pPr>
      <w:r>
        <w:t xml:space="preserve">III. Sales Performance: Education Administrator Metrics</w:t>
      </w:r>
    </w:p>
    <w:p>
      <w:pPr>
        <w:pStyle w:val="FirstParagraph"/>
      </w:pPr>
      <w:r>
        <w:t xml:space="preserve">Our Education Administrators in Colombia Medellín achieved remarkable results through hyper-localized engagement:</w:t>
      </w:r>
    </w:p>
    <w:p>
      <w:pPr>
        <w:numPr>
          <w:ilvl w:val="0"/>
          <w:numId w:val="1001"/>
        </w:numPr>
        <w:pStyle w:val="Compact"/>
      </w:pPr>
      <w:r>
        <w:rPr>
          <w:bCs/>
          <w:b/>
        </w:rPr>
        <w:t xml:space="preserve">Contract Acquisition:</w:t>
      </w:r>
      <w:r>
        <w:t xml:space="preserve"> </w:t>
      </w:r>
      <w:r>
        <w:t xml:space="preserve">Closed 37 new institutional agreements (14% above target), including 8 public schools and 29 private institutions. This includes strategic wins at Medellín's Ministry of Education office for city-wide implementation.</w:t>
      </w:r>
    </w:p>
    <w:p>
      <w:pPr>
        <w:numPr>
          <w:ilvl w:val="0"/>
          <w:numId w:val="1001"/>
        </w:numPr>
        <w:pStyle w:val="Compact"/>
      </w:pPr>
      <w:r>
        <w:rPr>
          <w:bCs/>
          <w:b/>
        </w:rPr>
        <w:t xml:space="preserve">Revenue Growth:</w:t>
      </w:r>
      <w:r>
        <w:t xml:space="preserve"> </w:t>
      </w:r>
      <w:r>
        <w:t xml:space="preserve">Generated $2.1M in Q3 sales – a 34% increase from Q2 and 158% year-over-year growth in Medellín. Average deal size increased by 27% due to upselling comprehensive platform suites.</w:t>
      </w:r>
    </w:p>
    <w:p>
      <w:pPr>
        <w:numPr>
          <w:ilvl w:val="0"/>
          <w:numId w:val="1001"/>
        </w:numPr>
        <w:pStyle w:val="Compact"/>
      </w:pPr>
      <w:r>
        <w:rPr>
          <w:bCs/>
          <w:b/>
        </w:rPr>
        <w:t xml:space="preserve">Customer Retention:</w:t>
      </w:r>
      <w:r>
        <w:t xml:space="preserve"> </w:t>
      </w:r>
      <w:r>
        <w:t xml:space="preserve">Achieved 94% client retention rate among existing Medellín institutions through proactive Education Administrator check-ins and quarterly value assessments.</w:t>
      </w:r>
    </w:p>
    <w:p>
      <w:pPr>
        <w:numPr>
          <w:ilvl w:val="0"/>
          <w:numId w:val="1001"/>
        </w:numPr>
        <w:pStyle w:val="Compact"/>
      </w:pPr>
      <w:r>
        <w:rPr>
          <w:bCs/>
          <w:b/>
        </w:rPr>
        <w:t xml:space="preserve">Market Share:</w:t>
      </w:r>
      <w:r>
        <w:t xml:space="preserve"> </w:t>
      </w:r>
      <w:r>
        <w:t xml:space="preserve">Secured 28% penetration in Medellín's private K-12 sector – up from 17% last year – positioning us as the region's top edtech provider for institutional management solutions.</w:t>
      </w:r>
    </w:p>
    <w:bookmarkEnd w:id="22"/>
    <w:bookmarkStart w:id="23" w:name="Xedc7097f46e88d03324e3724e53b6c6615685d1"/>
    <w:p>
      <w:pPr>
        <w:pStyle w:val="Heading2"/>
      </w:pPr>
      <w:r>
        <w:t xml:space="preserve">IV. Strategic Initiatives Driving Success</w:t>
      </w:r>
    </w:p>
    <w:p>
      <w:pPr>
        <w:pStyle w:val="FirstParagraph"/>
      </w:pPr>
      <w:r>
        <w:t xml:space="preserve">Our Education Administrator team implemented Medellín-specific initiatives that transformed sales outcomes:</w:t>
      </w:r>
    </w:p>
    <w:p>
      <w:pPr>
        <w:numPr>
          <w:ilvl w:val="0"/>
          <w:numId w:val="1002"/>
        </w:numPr>
        <w:pStyle w:val="Compact"/>
      </w:pPr>
      <w:r>
        <w:rPr>
          <w:bCs/>
          <w:b/>
        </w:rPr>
        <w:t xml:space="preserve">Cultural Integration Framework:</w:t>
      </w:r>
      <w:r>
        <w:t xml:space="preserve"> </w:t>
      </w:r>
      <w:r>
        <w:t xml:space="preserve">Education Administrators underwent 30+ hours of local cultural immersion training, including colloquial Spanish proficiency and understanding Medellín's "social urbanism" philosophy. This enabled authentic relationship building with school directors who prioritize community impact.</w:t>
      </w:r>
    </w:p>
    <w:p>
      <w:pPr>
        <w:numPr>
          <w:ilvl w:val="0"/>
          <w:numId w:val="1002"/>
        </w:numPr>
        <w:pStyle w:val="Compact"/>
      </w:pPr>
      <w:r>
        <w:rPr>
          <w:bCs/>
          <w:b/>
        </w:rPr>
        <w:t xml:space="preserve">Localized Solution Bundling:</w:t>
      </w:r>
      <w:r>
        <w:t xml:space="preserve"> </w:t>
      </w:r>
      <w:r>
        <w:t xml:space="preserve">Instead of generic software, Education Administrators co-created packages addressing Medellín's unique needs:</w:t>
      </w:r>
    </w:p>
    <w:p>
      <w:pPr>
        <w:numPr>
          <w:ilvl w:val="1"/>
          <w:numId w:val="1003"/>
        </w:numPr>
        <w:pStyle w:val="Compact"/>
      </w:pPr>
      <w:r>
        <w:rPr>
          <w:iCs/>
          <w:i/>
        </w:rPr>
        <w:t xml:space="preserve">Comuna 13 Digital Bridge Package</w:t>
      </w:r>
      <w:r>
        <w:t xml:space="preserve">: Offline-first student data tools for low-connectivity zones</w:t>
      </w:r>
    </w:p>
    <w:p>
      <w:pPr>
        <w:numPr>
          <w:ilvl w:val="1"/>
          <w:numId w:val="1003"/>
        </w:numPr>
        <w:pStyle w:val="Compact"/>
      </w:pPr>
      <w:r>
        <w:rPr>
          <w:iCs/>
          <w:i/>
        </w:rPr>
        <w:t xml:space="preserve">Medellín Educator Network Platform</w:t>
      </w:r>
      <w:r>
        <w:t xml:space="preserve">: Teacher collaboration hub integrated with city's innovation centers (e.g., Parque Explora)</w:t>
      </w:r>
    </w:p>
    <w:p>
      <w:pPr>
        <w:numPr>
          <w:ilvl w:val="0"/>
          <w:numId w:val="1002"/>
        </w:numPr>
        <w:pStyle w:val="Compact"/>
      </w:pPr>
      <w:r>
        <w:rPr>
          <w:bCs/>
          <w:b/>
        </w:rPr>
        <w:t xml:space="preserve">Government Partnership Strategy:</w:t>
      </w:r>
      <w:r>
        <w:t xml:space="preserve"> </w:t>
      </w:r>
      <w:r>
        <w:t xml:space="preserve">Education Administrators secured Ministry of Education endorsements through pilot programs at 5 public schools, leveraging Medellín's "Innovación en Educación" initiative to scale adoption.</w:t>
      </w:r>
    </w:p>
    <w:bookmarkEnd w:id="23"/>
    <w:bookmarkStart w:id="24" w:name="X4861b4f9f236db534f5d315ecf45d3607bc736d"/>
    <w:p>
      <w:pPr>
        <w:pStyle w:val="Heading2"/>
      </w:pPr>
      <w:r>
        <w:t xml:space="preserve">V. Challenges Overcome in Colombia Medellín</w:t>
      </w:r>
    </w:p>
    <w:p>
      <w:pPr>
        <w:pStyle w:val="FirstParagraph"/>
      </w:pPr>
      <w:r>
        <w:t xml:space="preserve">The Sales Report identifies three major obstacles successfully addressed by our Education Administrator team:</w:t>
      </w:r>
    </w:p>
    <w:p>
      <w:pPr>
        <w:numPr>
          <w:ilvl w:val="0"/>
          <w:numId w:val="1004"/>
        </w:numPr>
        <w:pStyle w:val="Compact"/>
      </w:pPr>
      <w:r>
        <w:rPr>
          <w:bCs/>
          <w:b/>
        </w:rPr>
        <w:t xml:space="preserve">Legacy System Resistance:</w:t>
      </w:r>
      <w:r>
        <w:t xml:space="preserve"> </w:t>
      </w:r>
      <w:r>
        <w:t xml:space="preserve">Many Medellín schools used outdated paper-based systems. Education Administrators conducted free digital literacy workshops at community centers (e.g., in El Poblado and San Javier), reducing implementation resistance by 63%.</w:t>
      </w:r>
    </w:p>
    <w:p>
      <w:pPr>
        <w:numPr>
          <w:ilvl w:val="0"/>
          <w:numId w:val="1004"/>
        </w:numPr>
        <w:pStyle w:val="Compact"/>
      </w:pPr>
      <w:r>
        <w:rPr>
          <w:bCs/>
          <w:b/>
        </w:rPr>
        <w:t xml:space="preserve">Budget Constraints:</w:t>
      </w:r>
      <w:r>
        <w:t xml:space="preserve"> </w:t>
      </w:r>
      <w:r>
        <w:t xml:space="preserve">Public school funding limitations were countered through Education Administrator negotiations for phased payment plans aligned with Colombia's education budget cycles, enabling 41% of new contracts to be approved within Q3.</w:t>
      </w:r>
    </w:p>
    <w:p>
      <w:pPr>
        <w:numPr>
          <w:ilvl w:val="0"/>
          <w:numId w:val="1004"/>
        </w:numPr>
        <w:pStyle w:val="Compact"/>
      </w:pPr>
      <w:r>
        <w:rPr>
          <w:bCs/>
          <w:b/>
        </w:rPr>
        <w:t xml:space="preserve">Cultural Misalignment:</w:t>
      </w:r>
      <w:r>
        <w:t xml:space="preserve"> </w:t>
      </w:r>
      <w:r>
        <w:t xml:space="preserve">Early sales pitches focused on efficiency metrics alone, missing Medellín's community-centric education values. Our Education Administrators shifted to emphasizing how solutions improve student wellbeing in contexts like violence-affected neighborhoods – a message that resonated deeply with local directors.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performance, we project 50% growth for Education Administrator operations in Colombia Medellín by Q2 2024. Key recommendations include:</w:t>
      </w:r>
    </w:p>
    <w:p>
      <w:pPr>
        <w:numPr>
          <w:ilvl w:val="0"/>
          <w:numId w:val="1005"/>
        </w:numPr>
        <w:pStyle w:val="Compact"/>
      </w:pPr>
      <w:r>
        <w:rPr>
          <w:bCs/>
          <w:b/>
        </w:rPr>
        <w:t xml:space="preserve">Expand Community-Centric Solutions:</w:t>
      </w:r>
      <w:r>
        <w:t xml:space="preserve"> </w:t>
      </w:r>
      <w:r>
        <w:t xml:space="preserve">Develop parent engagement modules co-designed with Medellín's "Escuelas de Tiempo Completo" (full-time schools) initiative, directly addressing Education Administrator feedback from community meetings.</w:t>
      </w:r>
    </w:p>
    <w:p>
      <w:pPr>
        <w:numPr>
          <w:ilvl w:val="0"/>
          <w:numId w:val="1005"/>
        </w:numPr>
        <w:pStyle w:val="Compact"/>
      </w:pPr>
      <w:r>
        <w:rPr>
          <w:bCs/>
          <w:b/>
        </w:rPr>
        <w:t xml:space="preserve">Government Channel Deepening:</w:t>
      </w:r>
      <w:r>
        <w:t xml:space="preserve"> </w:t>
      </w:r>
      <w:r>
        <w:t xml:space="preserve">Assign dedicated Education Administrators to coordinate with Medellín's Department of Education on the new citywide digital education roadmap (2024-2026).</w:t>
      </w:r>
    </w:p>
    <w:p>
      <w:pPr>
        <w:numPr>
          <w:ilvl w:val="0"/>
          <w:numId w:val="1005"/>
        </w:numPr>
        <w:pStyle w:val="Compact"/>
      </w:pPr>
      <w:r>
        <w:rPr>
          <w:bCs/>
          <w:b/>
        </w:rPr>
        <w:t xml:space="preserve">Talent Expansion:</w:t>
      </w:r>
      <w:r>
        <w:t xml:space="preserve"> </w:t>
      </w:r>
      <w:r>
        <w:t xml:space="preserve">Recruit 5 additional Education Administrators fluent in regional dialects (e.g., Antioqueño Spanish) to cover Medellín's expanding school districts including Envigado and Itagüí.</w:t>
      </w:r>
    </w:p>
    <w:bookmarkEnd w:id="25"/>
    <w:bookmarkStart w:id="26" w:name="vii.-conclusion"/>
    <w:p>
      <w:pPr>
        <w:pStyle w:val="Heading2"/>
      </w:pPr>
      <w:r>
        <w:t xml:space="preserve">VII. Conclusion</w:t>
      </w:r>
    </w:p>
    <w:p>
      <w:pPr>
        <w:pStyle w:val="FirstParagraph"/>
      </w:pPr>
      <w:r>
        <w:t xml:space="preserve">The Q3 Sales Report unequivocally demonstrates that our Education Administrator model is the catalyst for sustainable growth in Colombia Medellín. By embedding our sales strategy within Medellín's educational ecosystem – respecting local governance structures, cultural nuances, and community-driven priorities – we've transformed from a vendor into an indispensable partner. The 34% revenue surge isn't merely a number; it represents 37 institutions now equipped to deliver more equitable education in Colombia's most innovative city. As Medellín continues its journey as a global model for educational urbanism, our Education Administrator team remains at the forefront, turning sales targets into transformative community impact. We recommend doubling down on this hyper-localized approach across all Colombia operations to replicate Medellín's success nationwide.</w:t>
      </w:r>
    </w:p>
    <w:p>
      <w:pPr>
        <w:pStyle w:val="BodyText"/>
      </w:pPr>
      <w:r>
        <w:rPr>
          <w:bCs/>
          <w:b/>
        </w:rPr>
        <w:t xml:space="preserve">Prepared By:</w:t>
      </w:r>
      <w:r>
        <w:t xml:space="preserve"> </w:t>
      </w:r>
      <w:r>
        <w:t xml:space="preserve">Global Sales Operations Team</w:t>
      </w:r>
      <w:r>
        <w:br/>
      </w:r>
      <w:r>
        <w:rPr>
          <w:bCs/>
          <w:b/>
        </w:rPr>
        <w:t xml:space="preserve">Verified By:</w:t>
      </w:r>
      <w:r>
        <w:t xml:space="preserve"> </w:t>
      </w:r>
      <w:r>
        <w:t xml:space="preserve">Director of Latin American Education Solutions</w:t>
      </w:r>
      <w:r>
        <w:br/>
      </w:r>
      <w:r>
        <w:rPr>
          <w:bCs/>
          <w:b/>
        </w:rPr>
        <w:t xml:space="preserve">Covered Institutions:</w:t>
      </w:r>
      <w:r>
        <w:t xml:space="preserve"> </w:t>
      </w:r>
      <w:r>
        <w:t xml:space="preserve">127 educational institutions across Medellín, Colombia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Sector Sales Report: Colombia Medellín</dc:title>
  <dc:creator/>
  <dc:language>en</dc:language>
  <cp:keywords/>
  <dcterms:created xsi:type="dcterms:W3CDTF">2025-12-11T06:57:45Z</dcterms:created>
  <dcterms:modified xsi:type="dcterms:W3CDTF">2025-12-11T06:57:45Z</dcterms:modified>
</cp:coreProperties>
</file>

<file path=docProps/custom.xml><?xml version="1.0" encoding="utf-8"?>
<Properties xmlns="http://schemas.openxmlformats.org/officeDocument/2006/custom-properties" xmlns:vt="http://schemas.openxmlformats.org/officeDocument/2006/docPropsVTypes"/>
</file>