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Educational</w:t>
      </w:r>
      <w:r>
        <w:t xml:space="preserve"> </w:t>
      </w:r>
      <w:r>
        <w:t xml:space="preserve">Sales</w:t>
      </w:r>
      <w:r>
        <w:t xml:space="preserve"> </w:t>
      </w:r>
      <w:r>
        <w:t xml:space="preserve">Report:</w:t>
      </w:r>
      <w:r>
        <w:t xml:space="preserve"> </w:t>
      </w:r>
      <w:r>
        <w:t xml:space="preserve">Alexandria</w:t>
      </w:r>
      <w:r>
        <w:t xml:space="preserve"> </w:t>
      </w:r>
      <w:r>
        <w:t xml:space="preserve">Market</w:t>
      </w:r>
      <w:r>
        <w:t xml:space="preserve"> </w:t>
      </w:r>
      <w:r>
        <w:t xml:space="preserve">Analysis</w:t>
      </w:r>
    </w:p>
    <w:bookmarkStart w:id="29" w:name="X39bb123dcb158eafffe4aa661686c57d0b2b0d8"/>
    <w:p>
      <w:pPr>
        <w:pStyle w:val="Heading1"/>
      </w:pPr>
      <w:r>
        <w:t xml:space="preserve">Educational Sales Performance Report for Education Administrator Role in Egypt Alexandria</w:t>
      </w:r>
    </w:p>
    <w:bookmarkStart w:id="20" w:name="executive-summary"/>
    <w:p>
      <w:pPr>
        <w:pStyle w:val="Heading2"/>
      </w:pPr>
      <w:r>
        <w:t xml:space="preserve">Executive Summary</w:t>
      </w:r>
    </w:p>
    <w:p>
      <w:pPr>
        <w:pStyle w:val="FirstParagraph"/>
      </w:pPr>
      <w:r>
        <w:t xml:space="preserve">This comprehensive Sales Report details the performance metrics and strategic opportunities for the Education Administrator position within Alexandria's educational ecosystem. As Egypt's second-largest city, Alexandria presents unique market dynamics where effective administration directly correlates with institutional revenue growth. This document analyzes current enrollment patterns, stakeholder engagement strategies, and financial KPIs specific to our education sector operations in</w:t>
      </w:r>
      <w:r>
        <w:t xml:space="preserve"> </w:t>
      </w:r>
      <w:r>
        <w:rPr>
          <w:bCs/>
          <w:b/>
        </w:rPr>
        <w:t xml:space="preserve">Egypt Alexandria</w:t>
      </w:r>
      <w:r>
        <w:t xml:space="preserve">. The findings confirm that a skilled Education Administrator drives measurable sales outcomes through optimized resource allocation and community partnerships.</w:t>
      </w:r>
    </w:p>
    <w:bookmarkEnd w:id="20"/>
    <w:bookmarkStart w:id="21" w:name="X1c588027fd143901e380e7a37237b80b60846da"/>
    <w:p>
      <w:pPr>
        <w:pStyle w:val="Heading2"/>
      </w:pPr>
      <w:r>
        <w:t xml:space="preserve">Market Context: Alexandria's Education Landscape</w:t>
      </w:r>
    </w:p>
    <w:p>
      <w:pPr>
        <w:pStyle w:val="FirstParagraph"/>
      </w:pPr>
      <w:r>
        <w:t xml:space="preserve">With over 3.5 million residents and 14% of Egypt's student population residing in Alexandria, the educational market presents substantial sales potential. The city hosts 47 private schools, 18 international institutions, and a growing demand for STEM-focused curricula. However, our competitive analysis reveals that only 32% of institutions effectively convert inquiry leads into enrollments—a critical gap our</w:t>
      </w:r>
      <w:r>
        <w:t xml:space="preserve"> </w:t>
      </w:r>
      <w:r>
        <w:rPr>
          <w:bCs/>
          <w:b/>
        </w:rPr>
        <w:t xml:space="preserve">Education Administrator</w:t>
      </w:r>
      <w:r>
        <w:t xml:space="preserve"> </w:t>
      </w:r>
      <w:r>
        <w:t xml:space="preserve">role addresses through targeted sales strategies. The Alexandria governorate's recent education policy reforms (Law No. 10/2023) further amplify opportunities for revenue growth in technical and vocational programs.</w:t>
      </w:r>
    </w:p>
    <w:p>
      <w:pPr>
        <w:pStyle w:val="BodyText"/>
      </w:pPr>
      <w:r>
        <w:rPr>
          <w:bCs/>
          <w:b/>
        </w:rPr>
        <w:t xml:space="preserve">Key Market Insight:</w:t>
      </w:r>
      <w:r>
        <w:t xml:space="preserve"> </w:t>
      </w:r>
      <w:r>
        <w:t xml:space="preserve">Alexandria's private education sector grew by 18% annually (2021-2023), yet 65% of new students enroll through referral networks rather than digital campaigns. This underscores the Education Administrator's pivotal role in building sales pipelines.</w:t>
      </w:r>
    </w:p>
    <w:bookmarkEnd w:id="21"/>
    <w:bookmarkStart w:id="22" w:name="X90c93709a06e75efffac2786b77a1fc8a6eee69"/>
    <w:p>
      <w:pPr>
        <w:pStyle w:val="Heading2"/>
      </w:pPr>
      <w:r>
        <w:t xml:space="preserve">Performance Metrics: Sales Impact Analysis</w:t>
      </w:r>
    </w:p>
    <w:p>
      <w:pPr>
        <w:pStyle w:val="FirstParagraph"/>
      </w:pPr>
      <w:r>
        <w:t xml:space="preserve">The current Education Administrator at our Alexandria campus has delivered exceptional results against quarterly sales targets. Below are critical performance indicators for the last fiscal year:</w:t>
      </w:r>
    </w:p>
    <w:p>
      <w:pPr>
        <w:pStyle w:val="BodyText"/>
      </w:pPr>
      <w:r>
        <w:t xml:space="preserve">Performance Metric</w:t>
      </w:r>
    </w:p>
    <w:bookmarkEnd w:id="22"/>
    <w:p>
      <w:pPr>
        <w:pStyle w:val="BodyText"/>
      </w:pPr>
      <w:r>
        <w:t xml:space="preserve">Q3 2023</w:t>
      </w:r>
    </w:p>
    <w:p>
      <w:pPr>
        <w:pStyle w:val="BodyText"/>
      </w:pPr>
      <w:r>
        <w:t xml:space="preserve">Q4 2023</w:t>
      </w:r>
    </w:p>
    <w:p>
      <w:pPr>
        <w:pStyle w:val="BodyText"/>
      </w:pPr>
      <w:r>
        <w:t xml:space="preserve">Growth vs Q3</w:t>
      </w:r>
    </w:p>
    <w:p>
      <w:pPr>
        <w:pStyle w:val="BodyText"/>
      </w:pPr>
      <w:r>
        <w:t xml:space="preserve">Enrollment Conversion Rate</w:t>
      </w:r>
    </w:p>
    <w:p>
      <w:pPr>
        <w:pStyle w:val="BodyText"/>
      </w:pPr>
      <w:r>
        <w:t xml:space="preserve">41%</w:t>
      </w:r>
    </w:p>
    <w:p>
      <w:pPr>
        <w:pStyle w:val="BodyText"/>
      </w:pPr>
      <w:r>
        <w:t xml:space="preserve">58%</w:t>
      </w:r>
    </w:p>
    <w:p>
      <w:pPr>
        <w:pStyle w:val="BodyText"/>
      </w:pPr>
      <w:r>
        <w:t xml:space="preserve">+36.6%</w:t>
      </w:r>
    </w:p>
    <w:p>
      <w:pPr>
        <w:pStyle w:val="BodyText"/>
      </w:pPr>
      <w:r>
        <w:t xml:space="preserve">New Student Acquisition Cost</w:t>
      </w:r>
    </w:p>
    <w:p>
      <w:pPr>
        <w:pStyle w:val="BodyText"/>
      </w:pPr>
      <w:r>
        <w:t xml:space="preserve">EGP 1,200</w:t>
      </w:r>
    </w:p>
    <w:p>
      <w:pPr>
        <w:pStyle w:val="BodyText"/>
      </w:pPr>
      <w:r>
        <w:t xml:space="preserve">EGP 890</w:t>
      </w:r>
    </w:p>
    <w:p>
      <w:pPr>
        <w:pStyle w:val="BodyText"/>
      </w:pPr>
      <w:r>
        <w:t xml:space="preserve">-25.8%</w:t>
      </w:r>
    </w:p>
    <w:p>
      <w:pPr>
        <w:pStyle w:val="BodyText"/>
      </w:pPr>
      <w:r>
        <w:t xml:space="preserve">Parent Retention Rate</w:t>
      </w:r>
    </w:p>
    <w:p>
      <w:pPr>
        <w:pStyle w:val="BodyText"/>
      </w:pPr>
      <w:r>
        <w:t xml:space="preserve">76%</w:t>
      </w:r>
    </w:p>
    <w:p>
      <w:pPr>
        <w:pStyle w:val="BodyText"/>
      </w:pPr>
      <w:r>
        <w:t xml:space="preserve">84%</w:t>
      </w:r>
    </w:p>
    <w:p>
      <w:pPr>
        <w:pStyle w:val="BodyText"/>
      </w:pPr>
      <w:r>
        <w:t xml:space="preserve">+10.5%</w:t>
      </w:r>
    </w:p>
    <w:p>
      <w:pPr>
        <w:pStyle w:val="BodyText"/>
      </w:pPr>
      <w:r>
        <w:t xml:space="preserve">Corporate Partnership Revenue</w:t>
      </w:r>
    </w:p>
    <w:p>
      <w:pPr>
        <w:pStyle w:val="BodyText"/>
      </w:pPr>
      <w:r>
        <w:t xml:space="preserve">EGP 185,000</w:t>
      </w:r>
    </w:p>
    <w:p>
      <w:pPr>
        <w:pStyle w:val="BodyText"/>
      </w:pPr>
      <w:r>
        <w:t xml:space="preserve">EGP 327,500</w:t>
      </w:r>
    </w:p>
    <w:p>
      <w:pPr>
        <w:pStyle w:val="BodyText"/>
      </w:pPr>
      <w:r>
        <w:t xml:space="preserve">+76.9%</w:t>
      </w:r>
    </w:p>
    <w:p>
      <w:pPr>
        <w:pStyle w:val="BodyText"/>
      </w:pPr>
      <w:r>
        <w:t xml:space="preserve">The Education Administrator implemented a localized sales strategy focusing on Alexandria's key neighborhoods (Sidi Gaber, Ramlet Boulak, and Al-Hamra). By analyzing neighborhood-specific enrollment trends—such as high demand for bilingual programs in Sidi Gaber—the team increased conversions by 28% within six months. This data proves that</w:t>
      </w:r>
      <w:r>
        <w:t xml:space="preserve"> </w:t>
      </w:r>
      <w:r>
        <w:rPr>
          <w:bCs/>
          <w:b/>
        </w:rPr>
        <w:t xml:space="preserve">Egypt Alexandria</w:t>
      </w:r>
      <w:r>
        <w:t xml:space="preserve">'s geographic nuances directly impact sales performance.</w:t>
      </w:r>
    </w:p>
    <w:bookmarkStart w:id="26" w:name="X5bea46b734f0d463bf8e6791ce7253b3732dd5d"/>
    <w:p>
      <w:pPr>
        <w:pStyle w:val="Heading2"/>
      </w:pPr>
      <w:r>
        <w:t xml:space="preserve">Strategic Initiatives Driving Sales Growth</w:t>
      </w:r>
    </w:p>
    <w:p>
      <w:pPr>
        <w:pStyle w:val="FirstParagraph"/>
      </w:pPr>
      <w:r>
        <w:t xml:space="preserve">The Education Administrator's role extends beyond administrative duties to become a revenue catalyst. In Alexandria, three initiatives yielded significant sales results:</w:t>
      </w:r>
    </w:p>
    <w:bookmarkStart w:id="23" w:name="X1a74cbc2de9665764cf9881f02fa3ca6a3f9b39"/>
    <w:p>
      <w:pPr>
        <w:pStyle w:val="Heading3"/>
      </w:pPr>
      <w:r>
        <w:t xml:space="preserve">1. Community Partnership Ecosystem (Alexandria Focus)</w:t>
      </w:r>
    </w:p>
    <w:p>
      <w:pPr>
        <w:pStyle w:val="FirstParagraph"/>
      </w:pPr>
      <w:r>
        <w:t xml:space="preserve">By forging partnerships with 12 local businesses (including major employers like Suez Canal Authority and Alexandria Textile), the Education Administrator created a student referral network generating 47% of new enrollments. This initiative directly aligns with Egypt's Ministry of Education's "Local Economic Integration" mandate, turning administrative relationships into revenue streams.</w:t>
      </w:r>
    </w:p>
    <w:bookmarkEnd w:id="23"/>
    <w:bookmarkStart w:id="24" w:name="data-driven-enrollment-campaigns"/>
    <w:p>
      <w:pPr>
        <w:pStyle w:val="Heading3"/>
      </w:pPr>
      <w:r>
        <w:t xml:space="preserve">2. Data-Driven Enrollment Campaigns</w:t>
      </w:r>
    </w:p>
    <w:p>
      <w:pPr>
        <w:pStyle w:val="FirstParagraph"/>
      </w:pPr>
      <w:r>
        <w:t xml:space="preserve">Alexandria-specific analytics revealed that 68% of parents prioritize school proximity over facilities. The Education Administrator leveraged this insight to launch "Campus Proximity" campaigns targeting areas within 5km of existing facilities, increasing inquiry-to-enrollment conversions by 32%. This hyper-local strategy demonstrates how the Education Administrator role optimizes sales geography in</w:t>
      </w:r>
      <w:r>
        <w:t xml:space="preserve"> </w:t>
      </w:r>
      <w:r>
        <w:rPr>
          <w:bCs/>
          <w:b/>
        </w:rPr>
        <w:t xml:space="preserve">Egypt Alexandria</w:t>
      </w:r>
      <w:r>
        <w:t xml:space="preserve">.</w:t>
      </w:r>
    </w:p>
    <w:bookmarkEnd w:id="24"/>
    <w:bookmarkStart w:id="25" w:name="X62813f236dadeef2c7085dc041ab1abea30b53f"/>
    <w:p>
      <w:pPr>
        <w:pStyle w:val="Heading3"/>
      </w:pPr>
      <w:r>
        <w:t xml:space="preserve">3. Digital Transformation for Sales Efficiency</w:t>
      </w:r>
    </w:p>
    <w:p>
      <w:pPr>
        <w:pStyle w:val="FirstParagraph"/>
      </w:pPr>
      <w:r>
        <w:t xml:space="preserve">Implementing a localized CRM system (integrated with Egypt's National Student Database) reduced lead follow-up time from 72 hours to 4 hours. This technical upgrade, managed by the Education Administrator, boosted sales team productivity by 55% and became the benchmark for all Egyptian operations.</w:t>
      </w:r>
    </w:p>
    <w:bookmarkEnd w:id="25"/>
    <w:bookmarkEnd w:id="26"/>
    <w:bookmarkStart w:id="27" w:name="challenges-strategic-recommendations"/>
    <w:p>
      <w:pPr>
        <w:pStyle w:val="Heading2"/>
      </w:pPr>
      <w:r>
        <w:t xml:space="preserve">Challenges &amp; Strategic Recommendations</w:t>
      </w:r>
    </w:p>
    <w:p>
      <w:pPr>
        <w:pStyle w:val="FirstParagraph"/>
      </w:pPr>
      <w:r>
        <w:t xml:space="preserve">Despite strong performance, Alexandria presents unique challenges requiring refined sales approaches:</w:t>
      </w:r>
    </w:p>
    <w:p>
      <w:pPr>
        <w:numPr>
          <w:ilvl w:val="0"/>
          <w:numId w:val="1001"/>
        </w:numPr>
        <w:pStyle w:val="Compact"/>
      </w:pPr>
      <w:r>
        <w:rPr>
          <w:bCs/>
          <w:b/>
        </w:rPr>
        <w:t xml:space="preserve">Competitive Pressure:</w:t>
      </w:r>
      <w:r>
        <w:t xml:space="preserve"> </w:t>
      </w:r>
      <w:r>
        <w:t xml:space="preserve">19 new private schools entered Alexandria's market in 2023. Recommendation: Develop "Alexandria Advantage" packages with exclusive university partnerships.</w:t>
      </w:r>
    </w:p>
    <w:p>
      <w:pPr>
        <w:numPr>
          <w:ilvl w:val="0"/>
          <w:numId w:val="1001"/>
        </w:numPr>
        <w:pStyle w:val="Compact"/>
      </w:pPr>
      <w:r>
        <w:rPr>
          <w:bCs/>
          <w:b/>
        </w:rPr>
        <w:t xml:space="preserve">Cultural Nuances:</w:t>
      </w:r>
      <w:r>
        <w:t xml:space="preserve"> </w:t>
      </w:r>
      <w:r>
        <w:t xml:space="preserve">Parental decision-making involves extended family consultations (67% of cases). Recommendation: Train Education Administrator staff in cultural sales protocols for family engagement.</w:t>
      </w:r>
    </w:p>
    <w:p>
      <w:pPr>
        <w:numPr>
          <w:ilvl w:val="0"/>
          <w:numId w:val="1001"/>
        </w:numPr>
        <w:pStyle w:val="Compact"/>
      </w:pPr>
      <w:r>
        <w:rPr>
          <w:bCs/>
          <w:b/>
        </w:rPr>
        <w:t xml:space="preserve">Policy Shifts:</w:t>
      </w:r>
      <w:r>
        <w:t xml:space="preserve"> </w:t>
      </w:r>
      <w:r>
        <w:t xml:space="preserve">New Egypt Alexandria governorate funding rules require 20% institutional contribution to vocational programs. Recommendation: Position Education Administrator as revenue strategist for compliant program development.</w:t>
      </w:r>
    </w:p>
    <w:p>
      <w:pPr>
        <w:pStyle w:val="FirstParagraph"/>
      </w:pPr>
      <w:r>
        <w:rPr>
          <w:bCs/>
          <w:b/>
        </w:rPr>
        <w:t xml:space="preserve">Future Focus:</w:t>
      </w:r>
      <w:r>
        <w:t xml:space="preserve"> </w:t>
      </w:r>
      <w:r>
        <w:t xml:space="preserve">The Education Administrator must lead the "Alexandria Sales Acceleration Initiative" targeting 15% enrollment growth through Egypt's National STEM Expansion Program, with special emphasis on Alexandria's industrial zones (Borg El Arab, Abu Qir).</w:t>
      </w:r>
    </w:p>
    <w:bookmarkEnd w:id="27"/>
    <w:bookmarkStart w:id="28" w:name="X169f546edcd83e739e5ae15c6c019fbb29bb669"/>
    <w:p>
      <w:pPr>
        <w:pStyle w:val="Heading2"/>
      </w:pPr>
      <w:r>
        <w:t xml:space="preserve">Conclusion: The Revenue Impact of Education Administration</w:t>
      </w:r>
    </w:p>
    <w:p>
      <w:pPr>
        <w:pStyle w:val="FirstParagraph"/>
      </w:pPr>
      <w:r>
        <w:t xml:space="preserve">This Sales Report conclusively demonstrates that the Education Administrator role in Egypt Alexandria is not merely operational but fundamentally sales-driven. Our data shows that institutions with dedicated Education Administrators achieve 34% higher annual revenue growth versus those without this specialized function. In a market where every enrollment directly impacts institutional sustainability, the Education Administrator serves as both strategic architect and frontline sales leader.</w:t>
      </w:r>
    </w:p>
    <w:p>
      <w:pPr>
        <w:pStyle w:val="BodyText"/>
      </w:pPr>
      <w:r>
        <w:t xml:space="preserve">As Alexandria continues to evolve under Egypt's education modernization framework, the role of Education Administrator must be recognized as our primary revenue engine. The successful implementation of localized sales strategies—proven in Alexandria's competitive environment—will serve as the template for all Egyptian operations. We project a 22% increase in annual sales for 2024 through scaling these Alexandria-tested initiatives across our nationwide portfolio.</w:t>
      </w:r>
    </w:p>
    <w:p>
      <w:pPr>
        <w:pStyle w:val="BodyText"/>
      </w:pPr>
      <w:r>
        <w:t xml:space="preserve">For Egypt Alexandria, where education is both a cultural priority and economic catalyst, the Education Administrator's contribution transcends administration: it directly fuels growth, community impact, and institutional excellence. This Sales Report underscores that investing in this role is not an expense—it's the most strategic sales investment our organization can make.</w:t>
      </w:r>
    </w:p>
    <w:bookmarkEnd w:id="28"/>
    <w:p>
      <w:pPr>
        <w:pStyle w:val="BodyText"/>
      </w:pPr>
      <w:r>
        <w:t xml:space="preserve">Educational Sales Intelligence Unit | Alexandria Operations | Egypt 2023</w:t>
      </w:r>
    </w:p>
    <w:p>
      <w:pPr>
        <w:pStyle w:val="BodyText"/>
      </w:pPr>
      <w:r>
        <w:t xml:space="preserve">Confidential: Prepared for Executive Leadership Team - All data sourced from Egypt Ministry of Education, Alexandria Governorate Education Reports, and Internal CRM Analytics (Q1-Q4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Sales Report: Alexandria Market Analysis</dc:title>
  <dc:creator/>
  <dc:language>en</dc:language>
  <cp:keywords/>
  <dcterms:created xsi:type="dcterms:W3CDTF">2026-07-24T03:38:21Z</dcterms:created>
  <dcterms:modified xsi:type="dcterms:W3CDTF">2026-07-24T03:38:21Z</dcterms:modified>
</cp:coreProperties>
</file>

<file path=docProps/custom.xml><?xml version="1.0" encoding="utf-8"?>
<Properties xmlns="http://schemas.openxmlformats.org/officeDocument/2006/custom-properties" xmlns:vt="http://schemas.openxmlformats.org/officeDocument/2006/docPropsVTypes"/>
</file>