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Berlin</w:t>
      </w:r>
    </w:p>
    <w:bookmarkStart w:id="28" w:name="X8b468d2e395c73031ee78e93bd86b81b336e164"/>
    <w:p>
      <w:pPr>
        <w:pStyle w:val="Heading1"/>
      </w:pPr>
      <w:r>
        <w:t xml:space="preserve">Sales Report: Strategic Growth of Education Administration Solutions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EduAdmin Solutions GmbH</w:t>
      </w:r>
      <w:r>
        <w:br/>
      </w:r>
      <w:r>
        <w:rPr>
          <w:bCs/>
          <w:b/>
        </w:rPr>
        <w:t xml:space="preserve">Subject:</w:t>
      </w:r>
      <w:r>
        <w:t xml:space="preserve"> </w:t>
      </w:r>
      <w:r>
        <w:t xml:space="preserve">Q3 2023 Performance Analysis for Education Administrator Market in Berlin</w:t>
      </w:r>
    </w:p>
    <w:bookmarkStart w:id="20" w:name="i.-executive-summary"/>
    <w:p>
      <w:pPr>
        <w:pStyle w:val="Heading2"/>
      </w:pPr>
      <w:r>
        <w:t xml:space="preserve">I. Executive Summary</w:t>
      </w:r>
    </w:p>
    <w:p>
      <w:pPr>
        <w:pStyle w:val="FirstParagraph"/>
      </w:pPr>
      <w:r>
        <w:t xml:space="preserve">This sales report details the successful market penetration of EduAdmin Solutions' comprehensive education administration platform across Berlin's educational institutions. Our strategic focus on optimizing administrative workflows for Education Administrators in Germany's capital has yielded exceptional results, with 78% year-over-year growth in Berlin-specific contracts. This performance positions us as the leading provider for Education Administrator technology solutions in the region, directly addressing Berlin's unique regulatory landscape and operational challenges.</w:t>
      </w:r>
    </w:p>
    <w:bookmarkEnd w:id="20"/>
    <w:bookmarkStart w:id="21" w:name="ii.-berlin-specific-market-context"/>
    <w:p>
      <w:pPr>
        <w:pStyle w:val="Heading2"/>
      </w:pPr>
      <w:r>
        <w:t xml:space="preserve">II. Berlin-Specific Market Context</w:t>
      </w:r>
    </w:p>
    <w:p>
      <w:pPr>
        <w:pStyle w:val="FirstParagraph"/>
      </w:pPr>
      <w:r>
        <w:t xml:space="preserve">As Germany's educational capital, Berlin hosts 1,084 public schools serving over 350,000 students across diverse cultural backgrounds. The city operates under the strict framework of the Berlin School Act (Berliner Schulgesetz) and federal education standards (Bundesländer Bildungsgesetze), creating complex administrative requirements for every Education Administrator. Our sales team identified three critical pain points through extensive stakeholder interviews:</w:t>
      </w:r>
    </w:p>
    <w:p>
      <w:pPr>
        <w:numPr>
          <w:ilvl w:val="0"/>
          <w:numId w:val="1001"/>
        </w:numPr>
        <w:pStyle w:val="Compact"/>
      </w:pPr>
      <w:r>
        <w:rPr>
          <w:bCs/>
          <w:b/>
        </w:rPr>
        <w:t xml:space="preserve">Compliance Burden:</w:t>
      </w:r>
      <w:r>
        <w:t xml:space="preserve"> </w:t>
      </w:r>
      <w:r>
        <w:t xml:space="preserve">87% of Berlin Education Administrators reported spending &gt;40 hours monthly on regulatory documentation</w:t>
      </w:r>
    </w:p>
    <w:p>
      <w:pPr>
        <w:numPr>
          <w:ilvl w:val="0"/>
          <w:numId w:val="1001"/>
        </w:numPr>
        <w:pStyle w:val="Compact"/>
      </w:pPr>
      <w:r>
        <w:rPr>
          <w:bCs/>
          <w:b/>
        </w:rPr>
        <w:t xml:space="preserve">Data Fragmentation:</w:t>
      </w:r>
      <w:r>
        <w:t xml:space="preserve"> </w:t>
      </w:r>
      <w:r>
        <w:t xml:space="preserve">School systems operated across 5+ disconnected platforms, hindering student performance tracking</w:t>
      </w:r>
    </w:p>
    <w:p>
      <w:pPr>
        <w:numPr>
          <w:ilvl w:val="0"/>
          <w:numId w:val="1001"/>
        </w:numPr>
        <w:pStyle w:val="Compact"/>
      </w:pPr>
      <w:r>
        <w:rPr>
          <w:bCs/>
          <w:b/>
        </w:rPr>
        <w:t xml:space="preserve">Budget Pressures:</w:t>
      </w:r>
      <w:r>
        <w:t xml:space="preserve"> </w:t>
      </w:r>
      <w:r>
        <w:t xml:space="preserve">73% cited insufficient resources to meet Berlin's increasing educational equity mandates</w:t>
      </w:r>
    </w:p>
    <w:bookmarkEnd w:id="21"/>
    <w:bookmarkStart w:id="23" w:name="X105a66aed8a607dcf2ea38252e43ae9c7eb2521"/>
    <w:p>
      <w:pPr>
        <w:pStyle w:val="Heading2"/>
      </w:pPr>
      <w:r>
        <w:t xml:space="preserve">III. Sales Performance Highlights: Berlin Focus</w:t>
      </w:r>
    </w:p>
    <w:p>
      <w:pPr>
        <w:pStyle w:val="FirstParagraph"/>
      </w:pPr>
      <w:r>
        <w:t xml:space="preserve">Our Q3 sales strategy centered exclusively on Berlin's Education Administrator needs, yielding the following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New Berlin Contracts Signed</w:t>
            </w:r>
          </w:p>
        </w:tc>
        <w:tc>
          <w:tcPr/>
          <w:p>
            <w:pPr>
              <w:pStyle w:val="Compact"/>
              <w:jc w:val="left"/>
            </w:pPr>
            <w:r>
              <w:t xml:space="preserve">47 schools/districts</w:t>
            </w:r>
          </w:p>
        </w:tc>
        <w:tc>
          <w:tcPr/>
          <w:p>
            <w:pPr>
              <w:pStyle w:val="Compact"/>
              <w:jc w:val="left"/>
            </w:pPr>
            <w:r>
              <w:t xml:space="preserve">19 schools/districts</w:t>
            </w:r>
          </w:p>
        </w:tc>
        <w:tc>
          <w:tcPr/>
          <w:p>
            <w:pPr>
              <w:pStyle w:val="Compact"/>
              <w:jc w:val="left"/>
            </w:pPr>
            <w:r>
              <w:t xml:space="preserve">+147%</w:t>
            </w:r>
          </w:p>
        </w:tc>
      </w:tr>
      <w:tr>
        <w:tc>
          <w:tcPr/>
          <w:p>
            <w:pPr>
              <w:pStyle w:val="Compact"/>
              <w:jc w:val="left"/>
            </w:pPr>
            <w:r>
              <w:t xml:space="preserve">Average Deal Value (Berlin)</w:t>
            </w:r>
          </w:p>
        </w:tc>
        <w:tc>
          <w:tcPr/>
          <w:p>
            <w:pPr>
              <w:pStyle w:val="Compact"/>
              <w:jc w:val="left"/>
            </w:pPr>
            <w:r>
              <w:t xml:space="preserve">€86,500</w:t>
            </w:r>
          </w:p>
        </w:tc>
        <w:tc>
          <w:tcPr/>
          <w:p>
            <w:pPr>
              <w:pStyle w:val="Compact"/>
              <w:jc w:val="left"/>
            </w:pPr>
            <w:r>
              <w:t xml:space="preserve">€72,300</w:t>
            </w:r>
          </w:p>
        </w:tc>
        <w:tc>
          <w:tcPr/>
          <w:p>
            <w:pPr>
              <w:pStyle w:val="Compact"/>
              <w:jc w:val="left"/>
            </w:pPr>
            <w:r>
              <w:t xml:space="preserve">+21.7%</w:t>
            </w:r>
          </w:p>
        </w:tc>
      </w:tr>
      <w:tr>
        <w:tc>
          <w:tcPr/>
          <w:p>
            <w:pPr>
              <w:pStyle w:val="Compact"/>
              <w:jc w:val="left"/>
            </w:pPr>
            <w:r>
              <w:t xml:space="preserve">Sales Pipeline Depth (Berlin)</w:t>
            </w:r>
          </w:p>
        </w:tc>
        <w:tc>
          <w:tcPr/>
          <w:p>
            <w:pPr>
              <w:pStyle w:val="Compact"/>
              <w:jc w:val="left"/>
            </w:pPr>
            <w:r>
              <w:t xml:space="preserve">€4.2M</w:t>
            </w:r>
          </w:p>
        </w:tc>
        <w:tc>
          <w:tcPr/>
          <w:p>
            <w:pPr>
              <w:pStyle w:val="Compact"/>
              <w:jc w:val="left"/>
            </w:pPr>
            <w:r>
              <w:t xml:space="preserve">€1.8M</w:t>
            </w:r>
          </w:p>
        </w:tc>
        <w:tc>
          <w:tcPr/>
          <w:p>
            <w:pPr>
              <w:pStyle w:val="Compact"/>
              <w:jc w:val="left"/>
            </w:pPr>
            <w:r>
              <w:t xml:space="preserve">+133%</w:t>
            </w:r>
          </w:p>
        </w:tc>
      </w:tr>
      <w:tr>
        <w:tc>
          <w:tcPr/>
          <w:p>
            <w:pPr>
              <w:pStyle w:val="Compact"/>
              <w:jc w:val="left"/>
            </w:pPr>
            <w:r>
              <w:t xml:space="preserve">Cross-Sell Rate to Existing Berlin Clients</w:t>
            </w:r>
          </w:p>
        </w:tc>
        <w:tc>
          <w:tcPr/>
          <w:p>
            <w:pPr>
              <w:pStyle w:val="Compact"/>
              <w:jc w:val="left"/>
            </w:pPr>
            <w:r>
              <w:t xml:space="preserve">68%</w:t>
            </w:r>
          </w:p>
        </w:tc>
        <w:tc>
          <w:tcPr/>
          <w:p>
            <w:pPr>
              <w:pStyle w:val="Compact"/>
              <w:jc w:val="left"/>
            </w:pPr>
            <w:r>
              <w:t xml:space="preserve">42%</w:t>
            </w:r>
          </w:p>
        </w:tc>
        <w:tc>
          <w:tcPr/>
          <w:p>
            <w:pPr>
              <w:pStyle w:val="Compact"/>
              <w:jc w:val="left"/>
            </w:pPr>
            <w:r>
              <w:t xml:space="preserve">+61.9%</w:t>
            </w:r>
          </w:p>
        </w:tc>
      </w:tr>
    </w:tbl>
    <w:bookmarkStart w:id="22" w:name="a.-key-success-drivers"/>
    <w:p>
      <w:pPr>
        <w:pStyle w:val="Heading3"/>
      </w:pPr>
      <w:r>
        <w:t xml:space="preserve">A. Key Success Drivers</w:t>
      </w:r>
    </w:p>
    <w:p>
      <w:pPr>
        <w:pStyle w:val="FirstParagraph"/>
      </w:pPr>
      <w:r>
        <w:rPr>
          <w:bCs/>
          <w:b/>
        </w:rPr>
        <w:t xml:space="preserve">Regulatory Alignment:</w:t>
      </w:r>
      <w:r>
        <w:t xml:space="preserve"> </w:t>
      </w:r>
      <w:r>
        <w:t xml:space="preserve">Our platform now features Berlin-specific compliance modules including integration with the Berlin School Administration System (BSA) and automatic updates for Landesbildungsgesetz amendments. This directly solved 92% of Education Administrator objections regarding legal requirements.</w:t>
      </w:r>
    </w:p>
    <w:p>
      <w:pPr>
        <w:pStyle w:val="BodyText"/>
      </w:pPr>
      <w:r>
        <w:rPr>
          <w:bCs/>
          <w:b/>
        </w:rPr>
        <w:t xml:space="preserve">School Cluster Approach:</w:t>
      </w:r>
      <w:r>
        <w:t xml:space="preserve"> </w:t>
      </w:r>
      <w:r>
        <w:t xml:space="preserve">Partnering with Berlin's District Education Authorities (Bezirksämter) to implement district-wide solutions instead of individual school contracts. This secured 12 district-level agreements covering 387 schools – a first in the Berlin education technology market.</w:t>
      </w:r>
    </w:p>
    <w:p>
      <w:pPr>
        <w:pStyle w:val="BodyText"/>
      </w:pPr>
      <w:r>
        <w:rPr>
          <w:bCs/>
          <w:b/>
        </w:rPr>
        <w:t xml:space="preserve">Language and Cultural Adaptation:</w:t>
      </w:r>
      <w:r>
        <w:t xml:space="preserve"> </w:t>
      </w:r>
      <w:r>
        <w:t xml:space="preserve">Full German language interface with Berlin-specific terminology (e.g., "Schulträger" instead of "school board") and local holiday calendars. This reduced onboarding time by 55% compared to competitors using English-first interfaces.</w:t>
      </w:r>
    </w:p>
    <w:bookmarkEnd w:id="22"/>
    <w:bookmarkEnd w:id="23"/>
    <w:bookmarkStart w:id="24" w:name="X37f2bc17a77b5e0a5514f99c06e88ffd9a7bbcd"/>
    <w:p>
      <w:pPr>
        <w:pStyle w:val="Heading2"/>
      </w:pPr>
      <w:r>
        <w:t xml:space="preserve">IV. Education Administrator-Centric Sales Strategy</w:t>
      </w:r>
    </w:p>
    <w:p>
      <w:pPr>
        <w:pStyle w:val="FirstParagraph"/>
      </w:pPr>
      <w:r>
        <w:t xml:space="preserve">We redefined our sales approach around the actual responsibilities of Berlin's Education Administrators:</w:t>
      </w:r>
    </w:p>
    <w:p>
      <w:pPr>
        <w:numPr>
          <w:ilvl w:val="0"/>
          <w:numId w:val="1002"/>
        </w:numPr>
        <w:pStyle w:val="Compact"/>
      </w:pPr>
      <w:r>
        <w:rPr>
          <w:bCs/>
          <w:b/>
        </w:rPr>
        <w:t xml:space="preserve">Consultative Selling:</w:t>
      </w:r>
      <w:r>
        <w:t xml:space="preserve"> </w:t>
      </w:r>
      <w:r>
        <w:t xml:space="preserve">Our field reps now hold certified "Education Administration Specialist" credentials to speak authoritatively about Berlin's administrative workflows</w:t>
      </w:r>
    </w:p>
    <w:p>
      <w:pPr>
        <w:numPr>
          <w:ilvl w:val="0"/>
          <w:numId w:val="1002"/>
        </w:numPr>
        <w:pStyle w:val="Compact"/>
      </w:pPr>
      <w:r>
        <w:rPr>
          <w:bCs/>
          <w:b/>
        </w:rPr>
        <w:t xml:space="preserve">Solution Mapping:</w:t>
      </w:r>
      <w:r>
        <w:t xml:space="preserve"> </w:t>
      </w:r>
      <w:r>
        <w:t xml:space="preserve">We created a "Berlin Compliance Matrix" showing exactly how our platform addresses each regulation in the Berlin School Act (§ 6-12)</w:t>
      </w:r>
    </w:p>
    <w:p>
      <w:pPr>
        <w:numPr>
          <w:ilvl w:val="0"/>
          <w:numId w:val="1002"/>
        </w:numPr>
        <w:pStyle w:val="Compact"/>
      </w:pPr>
      <w:r>
        <w:rPr>
          <w:bCs/>
          <w:b/>
        </w:rPr>
        <w:t xml:space="preserve">Peer Validation:</w:t>
      </w:r>
      <w:r>
        <w:t xml:space="preserve"> </w:t>
      </w:r>
      <w:r>
        <w:t xml:space="preserve">Implemented case studies featuring Education Administrators from Berlin districts like Friedrichshain-Kreuzberg and Neukölln, who reported 30% faster student enrollment processing</w:t>
      </w:r>
    </w:p>
    <w:p>
      <w:pPr>
        <w:pStyle w:val="FirstParagraph"/>
      </w:pPr>
      <w:r>
        <w:rPr>
          <w:iCs/>
          <w:i/>
        </w:rPr>
        <w:t xml:space="preserve">"EduAdmin's Berlin-specific compliance module eliminated our documentation errors. As an Education Administrator managing 28 schools, this saved us 15+ hours weekly during accreditation cycles,"</w:t>
      </w:r>
      <w:r>
        <w:t xml:space="preserve"> </w:t>
      </w:r>
      <w:r>
        <w:t xml:space="preserve">– Lena Schmidt, District Education Officer, Neukölln School Authority.</w:t>
      </w:r>
    </w:p>
    <w:bookmarkEnd w:id="24"/>
    <w:bookmarkStart w:id="25" w:name="Xbf6c590b0bbf9070740a2c3779bed10524f9da1"/>
    <w:p>
      <w:pPr>
        <w:pStyle w:val="Heading2"/>
      </w:pPr>
      <w:r>
        <w:t xml:space="preserve">V. Competitive Differentiation in Germany Berlin Market</w:t>
      </w:r>
    </w:p>
    <w:p>
      <w:pPr>
        <w:pStyle w:val="FirstParagraph"/>
      </w:pPr>
      <w:r>
        <w:t xml:space="preserve">While competitors offer generic European solutions, our Berlin-focused approach created decisive advantages: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Competitive Factor</w:t>
            </w:r>
          </w:p>
        </w:tc>
        <w:tc>
          <w:tcPr/>
          <w:p>
            <w:pPr>
              <w:pStyle w:val="Compact"/>
              <w:jc w:val="left"/>
            </w:pPr>
            <w:r>
              <w:t xml:space="preserve">EduAdmin Solutions (Berlin)</w:t>
            </w:r>
          </w:p>
        </w:tc>
        <w:tc>
          <w:tcPr/>
          <w:p>
            <w:pPr>
              <w:pStyle w:val="Compact"/>
              <w:jc w:val="left"/>
            </w:pPr>
            <w:r>
              <w:t xml:space="preserve">National Competitor</w:t>
            </w:r>
          </w:p>
        </w:tc>
        <w:tc>
          <w:tcPr/>
          <w:p>
            <w:pPr>
              <w:pStyle w:val="Compact"/>
              <w:jc w:val="left"/>
            </w:pPr>
            <w:r>
              <w:t xml:space="preserve">European Competitor</w:t>
            </w:r>
          </w:p>
        </w:tc>
      </w:tr>
      <w:tr>
        <w:tc>
          <w:tcPr/>
          <w:p>
            <w:pPr>
              <w:pStyle w:val="Compact"/>
              <w:jc w:val="left"/>
            </w:pPr>
            <w:r>
              <w:t xml:space="preserve">Local Regulatory Integration</w:t>
            </w:r>
          </w:p>
        </w:tc>
        <w:tc>
          <w:tcPr/>
          <w:p>
            <w:pPr>
              <w:pStyle w:val="Compact"/>
              <w:jc w:val="left"/>
            </w:pPr>
            <w:r>
              <w:rPr>
                <w:bCs/>
                <w:b/>
              </w:rPr>
              <w:t xml:space="preserve">Full Berlin School Act compliance</w:t>
            </w:r>
          </w:p>
        </w:tc>
        <w:tc>
          <w:tcPr/>
          <w:p>
            <w:pPr>
              <w:pStyle w:val="Compact"/>
              <w:jc w:val="left"/>
            </w:pPr>
            <w:r>
              <w:t xml:space="preserve">Bundesländer generic templates</w:t>
            </w:r>
          </w:p>
        </w:tc>
        <w:tc>
          <w:tcPr/>
          <w:p>
            <w:pPr>
              <w:pStyle w:val="Compact"/>
              <w:jc w:val="left"/>
            </w:pPr>
            <w:r>
              <w:t xml:space="preserve">No local adaptation</w:t>
            </w:r>
          </w:p>
        </w:tc>
      </w:tr>
      <w:tr>
        <w:tc>
          <w:tcPr/>
          <w:p>
            <w:pPr>
              <w:pStyle w:val="Compact"/>
              <w:jc w:val="left"/>
            </w:pPr>
            <w:r>
              <w:t xml:space="preserve">Language Support in UI</w:t>
            </w:r>
          </w:p>
        </w:tc>
        <w:tc>
          <w:tcPr/>
          <w:p>
            <w:pPr>
              <w:pStyle w:val="Compact"/>
              <w:jc w:val="left"/>
            </w:pPr>
            <w:r>
              <w:t xml:space="preserve">Native German with Berlin dialect options</w:t>
            </w:r>
          </w:p>
        </w:tc>
        <w:tc>
          <w:tcPr/>
          <w:p>
            <w:pPr>
              <w:pStyle w:val="Compact"/>
              <w:jc w:val="left"/>
            </w:pPr>
            <w:r>
              <w:t xml:space="preserve">English/German toggle only</w:t>
            </w:r>
          </w:p>
        </w:tc>
        <w:tc>
          <w:tcPr/>
          <w:p>
            <w:pPr>
              <w:pStyle w:val="Compact"/>
              <w:jc w:val="left"/>
            </w:pPr>
            <w:r>
              <w:t xml:space="preserve">Limited German support</w:t>
            </w:r>
          </w:p>
        </w:tc>
      </w:tr>
      <w:tr>
        <w:tc>
          <w:tcPr/>
          <w:p>
            <w:pPr>
              <w:pStyle w:val="Compact"/>
              <w:jc w:val="left"/>
            </w:pPr>
            <w:r>
              <w:t xml:space="preserve">Implementation Time (Berlin)</w:t>
            </w:r>
          </w:p>
        </w:tc>
        <w:tc>
          <w:tcPr/>
          <w:p>
            <w:pPr>
              <w:pStyle w:val="Compact"/>
              <w:jc w:val="left"/>
            </w:pPr>
            <w:r>
              <w:rPr>
                <w:bCs/>
                <w:b/>
              </w:rPr>
              <w:t xml:space="preserve">42 days average</w:t>
            </w:r>
          </w:p>
        </w:tc>
        <w:tc>
          <w:tcPr/>
          <w:p>
            <w:pPr>
              <w:pStyle w:val="Compact"/>
              <w:jc w:val="left"/>
            </w:pPr>
            <w:r>
              <w:t xml:space="preserve">98 days</w:t>
            </w:r>
          </w:p>
        </w:tc>
        <w:tc>
          <w:tcPr/>
          <w:p>
            <w:pPr>
              <w:pStyle w:val="Compact"/>
              <w:jc w:val="left"/>
            </w:pPr>
            <w:r>
              <w:t xml:space="preserve">120+ days</w:t>
            </w:r>
          </w:p>
        </w:tc>
      </w:tr>
    </w:tbl>
    <w:bookmarkEnd w:id="25"/>
    <w:bookmarkStart w:id="26" w:name="Xbdff949f1bb771e41bc32d7120e69e03ce08d6c"/>
    <w:p>
      <w:pPr>
        <w:pStyle w:val="Heading2"/>
      </w:pPr>
      <w:r>
        <w:t xml:space="preserve">VI. Future Outlook: Berlin Education Administrator Market Growth Plan</w:t>
      </w:r>
    </w:p>
    <w:p>
      <w:pPr>
        <w:pStyle w:val="FirstParagraph"/>
      </w:pPr>
      <w:r>
        <w:t xml:space="preserve">Berlin's education administration sector presents €95M+ annual growth potential for specialized solutions. Our Q4 strategy focuses on:</w:t>
      </w:r>
    </w:p>
    <w:p>
      <w:pPr>
        <w:numPr>
          <w:ilvl w:val="0"/>
          <w:numId w:val="1003"/>
        </w:numPr>
        <w:pStyle w:val="Compact"/>
      </w:pPr>
      <w:r>
        <w:rPr>
          <w:bCs/>
          <w:b/>
        </w:rPr>
        <w:t xml:space="preserve">Expansion into Municipal Partnerships:</w:t>
      </w:r>
      <w:r>
        <w:t xml:space="preserve"> </w:t>
      </w:r>
      <w:r>
        <w:t xml:space="preserve">Targeting all 12 Berlin districts to secure citywide contracts through the Senate Department for Education</w:t>
      </w:r>
    </w:p>
    <w:p>
      <w:pPr>
        <w:numPr>
          <w:ilvl w:val="0"/>
          <w:numId w:val="1003"/>
        </w:numPr>
        <w:pStyle w:val="Compact"/>
      </w:pPr>
      <w:r>
        <w:rPr>
          <w:bCs/>
          <w:b/>
        </w:rPr>
        <w:t xml:space="preserve">AI-Powered Compliance Assistant:</w:t>
      </w:r>
      <w:r>
        <w:t xml:space="preserve"> </w:t>
      </w:r>
      <w:r>
        <w:t xml:space="preserve">Launching Berlin-specific AI feature that predicts regulatory changes before they take effect, scheduled for November 2023</w:t>
      </w:r>
    </w:p>
    <w:p>
      <w:pPr>
        <w:numPr>
          <w:ilvl w:val="0"/>
          <w:numId w:val="1003"/>
        </w:numPr>
        <w:pStyle w:val="Compact"/>
      </w:pPr>
      <w:r>
        <w:rPr>
          <w:bCs/>
          <w:b/>
        </w:rPr>
        <w:t xml:space="preserve">Education Administrator Leadership Program:</w:t>
      </w:r>
      <w:r>
        <w:t xml:space="preserve"> </w:t>
      </w:r>
      <w:r>
        <w:t xml:space="preserve">Co-hosting certification workshops with Berlin University of Education (Humboldt-Universität) to build strategic relationships</w:t>
      </w:r>
    </w:p>
    <w:p>
      <w:pPr>
        <w:pStyle w:val="FirstParagraph"/>
      </w:pPr>
      <w:r>
        <w:t xml:space="preserve">The German government's new "Digital School Initiative" (Digitale Schule 2025) specifically targets Berlin, creating a $38M public funding pool for administrative technology. We're positioned to capture 45% of this funding stream through our Berlin-focused solutions.</w:t>
      </w:r>
    </w:p>
    <w:bookmarkEnd w:id="26"/>
    <w:bookmarkStart w:id="27" w:name="vii.-conclusion"/>
    <w:p>
      <w:pPr>
        <w:pStyle w:val="Heading2"/>
      </w:pPr>
      <w:r>
        <w:t xml:space="preserve">VII. Conclusion</w:t>
      </w:r>
    </w:p>
    <w:p>
      <w:pPr>
        <w:pStyle w:val="FirstParagraph"/>
      </w:pPr>
      <w:r>
        <w:t xml:space="preserve">This Q3 performance demonstrates that our tailored approach to Education Administrator challenges in Germany's capital is driving exceptional market leadership. The 147% contract growth in Berlin directly results from understanding how Education Administrators navigate the city's unique educational bureaucracy. As we move into Q4, our sales strategy will double down on Berlin-specific value propositions – including direct integration with the City of Berlin's digital infrastructure (Berlin Digital Platform) – to secure market dominance.</w:t>
      </w:r>
    </w:p>
    <w:p>
      <w:pPr>
        <w:pStyle w:val="BodyText"/>
      </w:pPr>
      <w:r>
        <w:t xml:space="preserve">For Education Administrators in Germany Berlin, EduAdmin Solutions delivers more than software; it provides a strategic partner in navigating complex educational governance. Our sales data confirms that this specialization is not just beneficial – it's becoming the essential standard for effective education administration across Berlin's schools and districts. We project 200% year-over-year growth for our Berlin Education Administrator division by Q2 2024, establishing us as Germany's undisputed leader in this critical market segment.</w:t>
      </w:r>
    </w:p>
    <w:p>
      <w:pPr>
        <w:pStyle w:val="BodyText"/>
      </w:pPr>
      <w:r>
        <w:rPr>
          <w:bCs/>
          <w:b/>
        </w:rPr>
        <w:t xml:space="preserve">Prepared By:</w:t>
      </w:r>
      <w:r>
        <w:t xml:space="preserve"> </w:t>
      </w:r>
      <w:r>
        <w:t xml:space="preserve">Markus Vogel, Head of Sales – German Market</w:t>
      </w:r>
      <w:r>
        <w:br/>
      </w:r>
      <w:r>
        <w:rPr>
          <w:bCs/>
          <w:b/>
        </w:rPr>
        <w:t xml:space="preserve">Contact:</w:t>
      </w:r>
      <w:r>
        <w:t xml:space="preserve"> </w:t>
      </w:r>
      <w:r>
        <w:t xml:space="preserve">mvogel@eduaadmin.de | +49 30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Solutions in Berlin</dc:title>
  <dc:creator/>
  <dc:language>en</dc:language>
  <cp:keywords/>
  <dcterms:created xsi:type="dcterms:W3CDTF">2026-07-20T22:09:33Z</dcterms:created>
  <dcterms:modified xsi:type="dcterms:W3CDTF">2026-07-20T22:09:33Z</dcterms:modified>
</cp:coreProperties>
</file>

<file path=docProps/custom.xml><?xml version="1.0" encoding="utf-8"?>
<Properties xmlns="http://schemas.openxmlformats.org/officeDocument/2006/custom-properties" xmlns:vt="http://schemas.openxmlformats.org/officeDocument/2006/docPropsVTypes"/>
</file>