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p>
    <w:bookmarkStart w:id="27" w:name="X737a22addf680b61454b8d9b786a042eb5b2319"/>
    <w:p>
      <w:pPr>
        <w:pStyle w:val="Heading1"/>
      </w:pPr>
      <w:r>
        <w:t xml:space="preserve">Comprehensive Sales Performance Report: Education Administrator in Germany Frankfurt</w:t>
      </w:r>
    </w:p>
    <w:p>
      <w:pPr>
        <w:pStyle w:val="FirstParagraph"/>
      </w:pPr>
      <w:r>
        <w:rPr>
          <w:bCs/>
          <w:b/>
        </w:rPr>
        <w:t xml:space="preserve">Prepared For:</w:t>
      </w:r>
      <w:r>
        <w:t xml:space="preserve"> </w:t>
      </w:r>
      <w:r>
        <w:t xml:space="preserve">Executive Leadership Team, International Education Division</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Location Focus:</w:t>
      </w:r>
      <w:r>
        <w:t xml:space="preserve"> </w:t>
      </w:r>
      <w:r>
        <w:t xml:space="preserve">Germany Frankfurt Metropolitan Area</w:t>
      </w:r>
    </w:p>
    <w:bookmarkStart w:id="20" w:name="i.-executive-summary"/>
    <w:p>
      <w:pPr>
        <w:pStyle w:val="Heading2"/>
      </w:pPr>
      <w:r>
        <w:t xml:space="preserve">I. Executive Summary</w:t>
      </w:r>
    </w:p>
    <w:p>
      <w:pPr>
        <w:pStyle w:val="FirstParagraph"/>
      </w:pPr>
      <w:r>
        <w:t xml:space="preserve">This Sales Report details the exceptional performance of our Education Administrator in the Germany Frankfurt market, demonstrating strategic growth and market penetration in one of Europe's most dynamic education hubs. The Education Administrator has not only met but significantly exceeded quarterly sales targets by 37% through innovative client acquisition strategies tailored to Frankfurt's unique educational landscape. As a cornerstone role within our European operations, this position directly impacts our revenue trajectory in Germany Frankfurt, where the education sector represents a €24 billion annual market with growing digital transformation demands. This report confirms that strategic investment in specialized Education Administrator roles delivers measurable ROI for international education providers operating in Germany Frankfurt.</w:t>
      </w:r>
    </w:p>
    <w:p>
      <w:pPr>
        <w:pStyle w:val="BodyText"/>
      </w:pPr>
      <w:r>
        <w:rPr>
          <w:bCs/>
          <w:b/>
        </w:rPr>
        <w:t xml:space="preserve">Key Achievement:</w:t>
      </w:r>
      <w:r>
        <w:t xml:space="preserve"> </w:t>
      </w:r>
      <w:r>
        <w:t xml:space="preserve">Generated €1.85M in new contracts during Q3 2023, representing a 41% increase from the previous quarter and establishing Frankfurt as our highest-performing European city for education technology solutions. This success directly stems from the Education Administrator's deep understanding of German educational regulations, school procurement cycles, and Frankfurt's status as a global education investment center.</w:t>
      </w:r>
    </w:p>
    <w:bookmarkEnd w:id="20"/>
    <w:bookmarkStart w:id="21" w:name="Xb73259c766e5d1b8372a34491c62b5441d9af57"/>
    <w:p>
      <w:pPr>
        <w:pStyle w:val="Heading2"/>
      </w:pPr>
      <w:r>
        <w:t xml:space="preserve">II. Market Context: Germany Frankfurt Educational Landscape</w:t>
      </w:r>
    </w:p>
    <w:p>
      <w:pPr>
        <w:pStyle w:val="FirstParagraph"/>
      </w:pPr>
      <w:r>
        <w:t xml:space="preserve">Frankfurt am Main stands as Germany's premier financial and educational crossroads, hosting 17 universities (including Goethe University), 80+ international schools, and the European Central Bank's education initiatives. The city's unique position as a global hub for multinational corporations drives exceptional demand for specialized education administration solutions. With over 300 K-12 institutions requiring modernized administrative systems and Germany's strict data protection laws (GDPR) creating compliance barriers, our Education Administrator in Germany Frankfurt has positioned us as the preferred partner through localized expertise.</w:t>
      </w:r>
    </w:p>
    <w:p>
      <w:pPr>
        <w:pStyle w:val="BodyText"/>
      </w:pPr>
      <w:r>
        <w:t xml:space="preserve">The significance of this regional focus cannot be overstated: 68% of education technology vendors fail to establish meaningful presence in Frankfurt due to cultural and regulatory complexity. Our Education Administrator's success in navigating these challenges directly contributes to our competitive advantage, making this Sales Report a critical benchmark for future expansion across Germany.</w:t>
      </w:r>
    </w:p>
    <w:bookmarkEnd w:id="21"/>
    <w:bookmarkStart w:id="22" w:name="Xad6e4cc80d8bee1a0060e8403a392004e101a33"/>
    <w:p>
      <w:pPr>
        <w:pStyle w:val="Heading2"/>
      </w:pPr>
      <w:r>
        <w:t xml:space="preserve">III. Sales Performance Breakdown: Germany Frankfurt Focus</w:t>
      </w:r>
    </w:p>
    <w:p>
      <w:pPr>
        <w:pStyle w:val="FirstParagraph"/>
      </w:pPr>
      <w:r>
        <w:t xml:space="preserve">Key Metric</w:t>
      </w:r>
    </w:p>
    <w:p>
      <w:pPr>
        <w:pStyle w:val="BodyText"/>
      </w:pPr>
      <w:r>
        <w:t xml:space="preserve">Q3 2023 Actual</w:t>
      </w:r>
    </w:p>
    <w:p>
      <w:pPr>
        <w:pStyle w:val="BodyText"/>
      </w:pPr>
      <w:r>
        <w:t xml:space="preserve">Target</w:t>
      </w:r>
    </w:p>
    <w:p>
      <w:pPr>
        <w:pStyle w:val="BodyText"/>
      </w:pPr>
      <w:r>
        <w:t xml:space="preserve">Variance</w:t>
      </w:r>
    </w:p>
    <w:p>
      <w:pPr>
        <w:pStyle w:val="BodyText"/>
      </w:pPr>
      <w:r>
        <w:t xml:space="preserve">New Client Acquisition (Frankfurt Schools)</w:t>
      </w:r>
    </w:p>
    <w:p>
      <w:pPr>
        <w:pStyle w:val="BodyText"/>
      </w:pPr>
      <w:r>
        <w:t xml:space="preserve">18 institutions</w:t>
      </w:r>
    </w:p>
    <w:p>
      <w:pPr>
        <w:pStyle w:val="BodyText"/>
      </w:pPr>
      <w:r>
        <w:t xml:space="preserve">14 institutions</w:t>
      </w:r>
    </w:p>
    <w:p>
      <w:pPr>
        <w:pStyle w:val="BodyText"/>
      </w:pPr>
      <w:r>
        <w:t xml:space="preserve">+28.6%</w:t>
      </w:r>
    </w:p>
    <w:p>
      <w:pPr>
        <w:pStyle w:val="BodyText"/>
      </w:pPr>
      <w:r>
        <w:t xml:space="preserve">Contract Value (€)</w:t>
      </w:r>
    </w:p>
    <w:p>
      <w:pPr>
        <w:pStyle w:val="BodyText"/>
      </w:pPr>
      <w:r>
        <w:t xml:space="preserve">1,850,000</w:t>
      </w:r>
    </w:p>
    <w:p>
      <w:pPr>
        <w:pStyle w:val="BodyText"/>
      </w:pPr>
      <w:r>
        <w:t xml:space="preserve">1,345,000</w:t>
      </w:r>
    </w:p>
    <w:p>
      <w:pPr>
        <w:pStyle w:val="BodyText"/>
      </w:pPr>
      <w:r>
        <w:t xml:space="preserve">+37.5%</w:t>
      </w:r>
    </w:p>
    <w:p>
      <w:pPr>
        <w:pStyle w:val="BodyText"/>
      </w:pPr>
      <w:r>
        <w:t xml:space="preserve">Cross-Sell Success Rate (Existing Clients)</w:t>
      </w:r>
    </w:p>
    <w:p>
      <w:pPr>
        <w:pStyle w:val="BodyText"/>
      </w:pPr>
      <w:r>
        <w:t xml:space="preserve">42%</w:t>
      </w:r>
    </w:p>
    <w:p>
      <w:pPr>
        <w:pStyle w:val="BodyText"/>
      </w:pPr>
      <w:r>
        <w:t xml:space="preserve">32%</w:t>
      </w:r>
    </w:p>
    <w:p>
      <w:pPr>
        <w:pStyle w:val="BodyText"/>
      </w:pPr>
      <w:r>
        <w:t xml:space="preserve">+31.2%</w:t>
      </w:r>
    </w:p>
    <w:p>
      <w:pPr>
        <w:pStyle w:val="BodyText"/>
      </w:pPr>
      <w:r>
        <w:t xml:space="preserve">Sales Cycle Duration</w:t>
      </w:r>
    </w:p>
    <w:p>
      <w:pPr>
        <w:pStyle w:val="BodyText"/>
      </w:pPr>
      <w:r>
        <w:t xml:space="preserve">76 days</w:t>
      </w:r>
    </w:p>
    <w:p>
      <w:pPr>
        <w:pStyle w:val="BodyText"/>
      </w:pPr>
      <w:r>
        <w:t xml:space="preserve">92 days</w:t>
      </w:r>
    </w:p>
    <w:p>
      <w:pPr>
        <w:pStyle w:val="BodyText"/>
      </w:pPr>
      <w:r>
        <w:t xml:space="preserve">-17.4%</w:t>
      </w:r>
    </w:p>
    <w:p>
      <w:pPr>
        <w:pStyle w:val="BodyText"/>
      </w:pPr>
      <w:r>
        <w:t xml:space="preserve">The Education Administrator's achievement in reducing sales cycles by 17.4% (to 76 days) is particularly significant for Germany Frankfurt operations, where bureaucratic procurement processes typically extend to 3-5 months. By leveraging local partnerships with the Frankfurt School of Management and the Hessian Ministry of Education, our team has streamlined compliance documentation and built trust that accelerates closing rates.</w:t>
      </w:r>
    </w:p>
    <w:bookmarkEnd w:id="22"/>
    <w:bookmarkStart w:id="23" w:name="Xa72cd397d08f4a0b0f72b05cc5d202d47fefadd"/>
    <w:p>
      <w:pPr>
        <w:pStyle w:val="Heading2"/>
      </w:pPr>
      <w:r>
        <w:t xml:space="preserve">IV. Strategic Initiatives Driving Success in Germany Frankfurt</w:t>
      </w:r>
    </w:p>
    <w:p>
      <w:pPr>
        <w:pStyle w:val="FirstParagraph"/>
      </w:pPr>
      <w:r>
        <w:t xml:space="preserve">The following initiatives implemented by our Education Administrator in Germany Frankfurt directly fueled this Sales Report's positive outcomes:</w:t>
      </w:r>
    </w:p>
    <w:p>
      <w:pPr>
        <w:numPr>
          <w:ilvl w:val="0"/>
          <w:numId w:val="1001"/>
        </w:numPr>
        <w:pStyle w:val="Compact"/>
      </w:pPr>
      <w:r>
        <w:rPr>
          <w:bCs/>
          <w:b/>
        </w:rPr>
        <w:t xml:space="preserve">Regulatory Integration:</w:t>
      </w:r>
      <w:r>
        <w:t xml:space="preserve"> </w:t>
      </w:r>
      <w:r>
        <w:t xml:space="preserve">Developed a GDPR-compliant onboarding protocol specifically for German schools, eliminating 40+ hours of administrative work per client during setup. This became the benchmark for all Europe operations.</w:t>
      </w:r>
    </w:p>
    <w:p>
      <w:pPr>
        <w:numPr>
          <w:ilvl w:val="0"/>
          <w:numId w:val="1001"/>
        </w:numPr>
        <w:pStyle w:val="Compact"/>
      </w:pPr>
      <w:r>
        <w:rPr>
          <w:bCs/>
          <w:b/>
        </w:rPr>
        <w:t xml:space="preserve">Local Partner Ecosystem:</w:t>
      </w:r>
      <w:r>
        <w:t xml:space="preserve"> </w:t>
      </w:r>
      <w:r>
        <w:t xml:space="preserve">Forged strategic alliances with Frankfurt-based educational consultants (including DFK - Deutsche Fachschule für Bildung), resulting in 53% of new leads through trusted referrals.</w:t>
      </w:r>
    </w:p>
    <w:p>
      <w:pPr>
        <w:numPr>
          <w:ilvl w:val="0"/>
          <w:numId w:val="1001"/>
        </w:numPr>
        <w:pStyle w:val="Compact"/>
      </w:pPr>
      <w:r>
        <w:rPr>
          <w:bCs/>
          <w:b/>
        </w:rPr>
        <w:t xml:space="preserve">Cultural Intelligence Program:</w:t>
      </w:r>
      <w:r>
        <w:t xml:space="preserve"> </w:t>
      </w:r>
      <w:r>
        <w:t xml:space="preserve">Created a localized training module for sales teams on German school hierarchy, parent-teacher communication norms, and "Bildungsreform" (education reform) priorities specific to Hesse state.</w:t>
      </w:r>
    </w:p>
    <w:p>
      <w:pPr>
        <w:numPr>
          <w:ilvl w:val="0"/>
          <w:numId w:val="1001"/>
        </w:numPr>
        <w:pStyle w:val="Compact"/>
      </w:pPr>
      <w:r>
        <w:rPr>
          <w:bCs/>
          <w:b/>
        </w:rPr>
        <w:t xml:space="preserve">Digital Transformation Roadshows:</w:t>
      </w:r>
      <w:r>
        <w:t xml:space="preserve"> </w:t>
      </w:r>
      <w:r>
        <w:t xml:space="preserve">Hosted 3 exclusive Frankfurt events at the city's Innovation Park targeting school administrators, generating 127 qualified leads with a 68% conversion rate.</w:t>
      </w:r>
    </w:p>
    <w:bookmarkEnd w:id="23"/>
    <w:bookmarkStart w:id="24" w:name="v.-market-specific-challenges-solutions"/>
    <w:p>
      <w:pPr>
        <w:pStyle w:val="Heading2"/>
      </w:pPr>
      <w:r>
        <w:t xml:space="preserve">V. Market-Specific Challenges &amp; Solutions</w:t>
      </w:r>
    </w:p>
    <w:p>
      <w:pPr>
        <w:pStyle w:val="FirstParagraph"/>
      </w:pPr>
      <w:r>
        <w:t xml:space="preserve">Operating in Germany Frankfurt presents unique challenges that our Education Administrator has systematically overcome:</w:t>
      </w:r>
    </w:p>
    <w:p>
      <w:pPr>
        <w:pStyle w:val="BodyText"/>
      </w:pPr>
      <w:r>
        <w:rPr>
          <w:bCs/>
          <w:b/>
        </w:rPr>
        <w:t xml:space="preserve">Challenge:</w:t>
      </w:r>
      <w:r>
        <w:t xml:space="preserve"> </w:t>
      </w:r>
      <w:r>
        <w:t xml:space="preserve">German schools prioritize long-term relationships over transactional sales, requiring relationship-building cycles exceeding 18 months.</w:t>
      </w:r>
      <w:r>
        <w:t xml:space="preserve"> </w:t>
      </w:r>
      <w:r>
        <w:rPr>
          <w:bCs/>
          <w:b/>
        </w:rPr>
        <w:t xml:space="preserve">Solution:</w:t>
      </w:r>
      <w:r>
        <w:t xml:space="preserve"> </w:t>
      </w:r>
      <w:r>
        <w:t xml:space="preserve">Implemented a quarterly "Administrative Excellence" newsletter providing Frankfurt-specific compliance updates and curriculum alignment insights, building credibility without aggressive selling. This resulted in 27% higher client retention rates.</w:t>
      </w:r>
    </w:p>
    <w:p>
      <w:pPr>
        <w:pStyle w:val="BodyText"/>
      </w:pPr>
      <w:r>
        <w:rPr>
          <w:bCs/>
          <w:b/>
        </w:rPr>
        <w:t xml:space="preserve">Challenge:</w:t>
      </w:r>
      <w:r>
        <w:t xml:space="preserve"> </w:t>
      </w:r>
      <w:r>
        <w:t xml:space="preserve">Language barrier with non-native English speaking school boards.</w:t>
      </w:r>
      <w:r>
        <w:t xml:space="preserve"> </w:t>
      </w:r>
      <w:r>
        <w:rPr>
          <w:bCs/>
          <w:b/>
        </w:rPr>
        <w:t xml:space="preserve">Solution:</w:t>
      </w:r>
      <w:r>
        <w:t xml:space="preserve"> </w:t>
      </w:r>
      <w:r>
        <w:t xml:space="preserve">Partnered with Frankfurt-based translation specialists to provide German-language sales documentation and conducted all key negotiations in German. This eliminated communication friction that previously caused 32% of stalled deals in Germany Frankfurt.</w:t>
      </w:r>
    </w:p>
    <w:bookmarkEnd w:id="24"/>
    <w:bookmarkStart w:id="25" w:name="X8f038c55a2d47925df534cec102a61105d08bf6"/>
    <w:p>
      <w:pPr>
        <w:pStyle w:val="Heading2"/>
      </w:pPr>
      <w:r>
        <w:t xml:space="preserve">VI. Strategic Recommendations for Continued Growth</w:t>
      </w:r>
    </w:p>
    <w:p>
      <w:pPr>
        <w:pStyle w:val="FirstParagraph"/>
      </w:pPr>
      <w:r>
        <w:t xml:space="preserve">Based on this Sales Report's insights, we recommend:</w:t>
      </w:r>
    </w:p>
    <w:p>
      <w:pPr>
        <w:numPr>
          <w:ilvl w:val="0"/>
          <w:numId w:val="1002"/>
        </w:numPr>
        <w:pStyle w:val="Compact"/>
      </w:pPr>
      <w:r>
        <w:rPr>
          <w:bCs/>
          <w:b/>
        </w:rPr>
        <w:t xml:space="preserve">Scale the Education Administrator Model:</w:t>
      </w:r>
      <w:r>
        <w:t xml:space="preserve"> </w:t>
      </w:r>
      <w:r>
        <w:t xml:space="preserve">Hire two additional specialized Education Administrators focused solely on Germany Frankfurt to manage projected 45% market growth in Hesse state. This will maintain our competitive velocity.</w:t>
      </w:r>
    </w:p>
    <w:p>
      <w:pPr>
        <w:numPr>
          <w:ilvl w:val="0"/>
          <w:numId w:val="1002"/>
        </w:numPr>
        <w:pStyle w:val="Compact"/>
      </w:pPr>
      <w:r>
        <w:rPr>
          <w:bCs/>
          <w:b/>
        </w:rPr>
        <w:t xml:space="preserve">Expand Localized Product Features:</w:t>
      </w:r>
      <w:r>
        <w:t xml:space="preserve"> </w:t>
      </w:r>
      <w:r>
        <w:t xml:space="preserve">Develop a GDPR-compliant "Frankfurt Edition" of our admin platform with integrated German curriculum standards (Lehrplan) support, directly addressing a key client pain point identified by our Education Administrator.</w:t>
      </w:r>
    </w:p>
    <w:p>
      <w:pPr>
        <w:numPr>
          <w:ilvl w:val="0"/>
          <w:numId w:val="1002"/>
        </w:numPr>
        <w:pStyle w:val="Compact"/>
      </w:pPr>
      <w:r>
        <w:rPr>
          <w:bCs/>
          <w:b/>
        </w:rPr>
        <w:t xml:space="preserve">Create Frankfurt Advisory Council:</w:t>
      </w:r>
      <w:r>
        <w:t xml:space="preserve"> </w:t>
      </w:r>
      <w:r>
        <w:t xml:space="preserve">Establish a formal council of 12 leading school administrators in Germany Frankfurt to co-develop future solutions, reinforcing market leadership.</w:t>
      </w:r>
    </w:p>
    <w:bookmarkEnd w:id="25"/>
    <w:bookmarkStart w:id="26" w:name="vii.-conclusion"/>
    <w:p>
      <w:pPr>
        <w:pStyle w:val="Heading2"/>
      </w:pPr>
      <w:r>
        <w:t xml:space="preserve">VII. Conclusion</w:t>
      </w:r>
    </w:p>
    <w:p>
      <w:pPr>
        <w:pStyle w:val="FirstParagraph"/>
      </w:pPr>
      <w:r>
        <w:t xml:space="preserve">This Sales Report unequivocally demonstrates that the Education Administrator role is the critical growth engine for our business in Germany Frankfurt. The unprecedented success metrics—37% above target revenue, 41% new client acquisition growth, and 17.4% faster sales cycles—validate our investment in specialized regional expertise. In a market where cultural nuance and regulatory complexity dominate, the Education Administrator's on-the-ground strategic execution has transformed Frankfurt into our most profitable European territory.</w:t>
      </w:r>
    </w:p>
    <w:p>
      <w:pPr>
        <w:pStyle w:val="BodyText"/>
      </w:pPr>
      <w:r>
        <w:t xml:space="preserve">As Germany continues to prioritize education innovation through its "DigitalPakt Schule" initiative, the demand for our services will accelerate. The Education Administrator in Germany Frankfurt has not merely delivered a sales result; they have established a replicable model that positions us for dominance across all German markets. We strongly recommend institutionalizing this role structure nationwide while expanding the Frankfurt team to capitalize on the €24 billion education market's digital transformation wave.</w:t>
      </w:r>
    </w:p>
    <w:p>
      <w:pPr>
        <w:pStyle w:val="BodyText"/>
      </w:pPr>
      <w:r>
        <w:rPr>
          <w:bCs/>
          <w:b/>
        </w:rPr>
        <w:t xml:space="preserve">Final Note:</w:t>
      </w:r>
      <w:r>
        <w:t xml:space="preserve"> </w:t>
      </w:r>
      <w:r>
        <w:t xml:space="preserve">This Sales Report underscores that when an Education Administrator combines deep local market knowledge with strategic sales execution in Germany Frankfurt, sustainable growth becomes not just achievable—but inevitable. We stand ready to scale this proven model across all European territories to achieve similar breakthroughs.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Germany Frankfurt</dc:title>
  <dc:creator/>
  <dc:language>en</dc:language>
  <cp:keywords/>
  <dcterms:created xsi:type="dcterms:W3CDTF">2026-07-21T13:18:01Z</dcterms:created>
  <dcterms:modified xsi:type="dcterms:W3CDTF">2026-07-21T13:18:01Z</dcterms:modified>
</cp:coreProperties>
</file>

<file path=docProps/custom.xml><?xml version="1.0" encoding="utf-8"?>
<Properties xmlns="http://schemas.openxmlformats.org/officeDocument/2006/custom-properties" xmlns:vt="http://schemas.openxmlformats.org/officeDocument/2006/docPropsVTypes"/>
</file>