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Mumbai</w:t>
      </w:r>
    </w:p>
    <w:bookmarkStart w:id="27" w:name="X9ef3631b937f7413063702622a72f0c2c5643d0"/>
    <w:p>
      <w:pPr>
        <w:pStyle w:val="Heading1"/>
      </w:pPr>
      <w:r>
        <w:t xml:space="preserve">Sales Report: Strategic Impact of Education Administrator Roles in India Mumbai's Education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Mumbai Regional Office</w:t>
      </w:r>
      <w:r>
        <w:br/>
      </w:r>
      <w:r>
        <w:rPr>
          <w:bCs/>
          <w:b/>
        </w:rPr>
        <w:t xml:space="preserve">Report Scope:</w:t>
      </w:r>
      <w:r>
        <w:t xml:space="preserve"> </w:t>
      </w:r>
      <w:r>
        <w:t xml:space="preserve">Performance Analysis of Education Administrator Functions Driving Sales Growth in India Mumbai</w:t>
      </w:r>
    </w:p>
    <w:bookmarkStart w:id="20" w:name="i.-executive-summary"/>
    <w:p>
      <w:pPr>
        <w:pStyle w:val="Heading2"/>
      </w:pPr>
      <w:r>
        <w:t xml:space="preserve">I. Executive Summary</w:t>
      </w:r>
    </w:p>
    <w:p>
      <w:pPr>
        <w:pStyle w:val="FirstParagraph"/>
      </w:pPr>
      <w:r>
        <w:t xml:space="preserve">This Sales Report details the critical revenue-generating impact of the Education Administrator role within Mumbai's education ecosystem. As a pivotal position bridging operational excellence and strategic sales growth, the Education Administrator has directly contributed to a 37% year-on-year increase in institutional partnerships across India Mumbai. In this highly competitive market—home to over 15,000 schools, colleges, and ed-tech startups—the role has become indispensable for converting educational needs into sustainable revenue streams. This document validates how targeted administrator engagement drives sales success specifically within Mumbai's unique regulatory and cultural landscape.</w:t>
      </w:r>
    </w:p>
    <w:bookmarkEnd w:id="20"/>
    <w:bookmarkStart w:id="21" w:name="ii.-mumbai-education-market-context"/>
    <w:p>
      <w:pPr>
        <w:pStyle w:val="Heading2"/>
      </w:pPr>
      <w:r>
        <w:t xml:space="preserve">II. Mumbai Education Market Context</w:t>
      </w:r>
    </w:p>
    <w:p>
      <w:pPr>
        <w:pStyle w:val="FirstParagraph"/>
      </w:pPr>
      <w:r>
        <w:t xml:space="preserve">India Mumbai represents a high-potential yet complex education market characterized by rapid urbanization, diverse institutional needs, and stringent state regulations. The Maharashtra government’s 2023 "Digital Learning for All" initiative alone has spurred demand for integrated ed-tech solutions across 12,000+ schools in the city. However, Mumbai’s fragmented landscape—from elite private institutions in South Mumbai to under-resourced municipal schools in Thane—demands hyper-localized sales strategies. The Education Administrator role has emerged as the frontline solution to navigate this complexity, directly influencing sales outcomes by aligning product offerings with Mumbai-specific challenges like infrastructure gaps and parent expectations.</w:t>
      </w:r>
    </w:p>
    <w:bookmarkEnd w:id="21"/>
    <w:bookmarkStart w:id="22" w:name="Xa416db0faab423eed46bae6b0e8664631898450"/>
    <w:p>
      <w:pPr>
        <w:pStyle w:val="Heading2"/>
      </w:pPr>
      <w:r>
        <w:t xml:space="preserve">III. Education Administrator: Sales Catalyst Framework</w:t>
      </w:r>
    </w:p>
    <w:p>
      <w:pPr>
        <w:pStyle w:val="FirstParagraph"/>
      </w:pPr>
      <w:r>
        <w:t xml:space="preserve">The Education Administrator in India Mumbai functions not as a traditional salesperson but as a strategic revenue driver through three core mechanisms:</w:t>
      </w:r>
    </w:p>
    <w:p>
      <w:pPr>
        <w:numPr>
          <w:ilvl w:val="0"/>
          <w:numId w:val="1001"/>
        </w:numPr>
        <w:pStyle w:val="Compact"/>
      </w:pPr>
      <w:r>
        <w:rPr>
          <w:bCs/>
          <w:b/>
        </w:rPr>
        <w:t xml:space="preserve">Needs Assessment &amp; Customization:</w:t>
      </w:r>
      <w:r>
        <w:t xml:space="preserve"> </w:t>
      </w:r>
      <w:r>
        <w:t xml:space="preserve">Administrators conduct on-ground visits to Mumbai institutions (e.g., St. Xavier’s, Vidyamandir, and municipal schools in Dadar), identifying pain points like exam management inefficiencies or digital literacy gaps. This led to 28% of sales deals being customized for Mumbai-specific workflows.</w:t>
      </w:r>
    </w:p>
    <w:p>
      <w:pPr>
        <w:numPr>
          <w:ilvl w:val="0"/>
          <w:numId w:val="1001"/>
        </w:numPr>
        <w:pStyle w:val="Compact"/>
      </w:pPr>
      <w:r>
        <w:rPr>
          <w:bCs/>
          <w:b/>
        </w:rPr>
        <w:t xml:space="preserve">Trust Building &amp; Compliance Navigation:</w:t>
      </w:r>
      <w:r>
        <w:t xml:space="preserve"> </w:t>
      </w:r>
      <w:r>
        <w:t xml:space="preserve">With Mumbai’s education sector heavily regulated by the Maharashtra State Board, Administrators leverage local relationships with school heads and district coordinators to ensure compliance, accelerating deal closures by 40%. For instance, securing a contract with 55 schools in Navi Mumbai required navigating municipal approval timelines—achieved through Administrator mediation.</w:t>
      </w:r>
    </w:p>
    <w:p>
      <w:pPr>
        <w:numPr>
          <w:ilvl w:val="0"/>
          <w:numId w:val="1001"/>
        </w:numPr>
        <w:pStyle w:val="Compact"/>
      </w:pPr>
      <w:r>
        <w:rPr>
          <w:bCs/>
          <w:b/>
        </w:rPr>
        <w:t xml:space="preserve">Stakeholder Ecosystem Management:</w:t>
      </w:r>
      <w:r>
        <w:t xml:space="preserve"> </w:t>
      </w:r>
      <w:r>
        <w:t xml:space="preserve">Administrators cultivate partnerships beyond schools (e.g., parents’ associations, NGOs like Pratham), directly driving referral-based sales. In Bandra alone, this approach increased pilot program uptake by 63% in Q3 2023.</w:t>
      </w:r>
    </w:p>
    <w:bookmarkEnd w:id="22"/>
    <w:bookmarkStart w:id="23" w:name="Xeb73d4f8db08e71353e6fd583f21baa25f5438c"/>
    <w:p>
      <w:pPr>
        <w:pStyle w:val="Heading2"/>
      </w:pPr>
      <w:r>
        <w:t xml:space="preserve">IV. Sales Performance Metrics: India Mumbai Focus</w:t>
      </w:r>
    </w:p>
    <w:p>
      <w:pPr>
        <w:pStyle w:val="FirstParagraph"/>
      </w:pPr>
      <w:r>
        <w:t xml:space="preserve">The following metrics demonstrate the direct correlation between Education Administrator activities and sales outcomes in Mumbai:</w:t>
      </w:r>
    </w:p>
    <w:p>
      <w:pPr>
        <w:pStyle w:val="BodyText"/>
      </w:pPr>
      <w:r>
        <w:t xml:space="preserve">KPI</w:t>
      </w:r>
    </w:p>
    <w:p>
      <w:pPr>
        <w:pStyle w:val="BodyText"/>
      </w:pPr>
      <w:r>
        <w:t xml:space="preserve">Q3 2022</w:t>
      </w:r>
    </w:p>
    <w:p>
      <w:pPr>
        <w:pStyle w:val="BodyText"/>
      </w:pPr>
      <w:r>
        <w:t xml:space="preserve">Q3 2023</w:t>
      </w:r>
    </w:p>
    <w:p>
      <w:pPr>
        <w:pStyle w:val="BodyText"/>
      </w:pPr>
      <w:r>
        <w:t xml:space="preserve">YoY Change</w:t>
      </w:r>
    </w:p>
    <w:p>
      <w:pPr>
        <w:pStyle w:val="BodyText"/>
      </w:pPr>
      <w:r>
        <w:t xml:space="preserve">Institutional Contracts Signed (Mumbai)</w:t>
      </w:r>
    </w:p>
    <w:p>
      <w:pPr>
        <w:pStyle w:val="BodyText"/>
      </w:pPr>
      <w:r>
        <w:t xml:space="preserve">47</w:t>
      </w:r>
    </w:p>
    <w:p>
      <w:pPr>
        <w:pStyle w:val="BodyText"/>
      </w:pPr>
      <w:r>
        <w:t xml:space="preserve">89</w:t>
      </w:r>
    </w:p>
    <w:p>
      <w:pPr>
        <w:pStyle w:val="BodyText"/>
      </w:pPr>
      <w:r>
        <w:t xml:space="preserve">+89%</w:t>
      </w:r>
    </w:p>
    <w:p>
      <w:pPr>
        <w:pStyle w:val="BodyText"/>
      </w:pPr>
      <w:r>
        <w:t xml:space="preserve">₹1.2M</w:t>
      </w:r>
    </w:p>
    <w:p>
      <w:pPr>
        <w:pStyle w:val="BodyText"/>
      </w:pPr>
      <w:r>
        <w:t xml:space="preserve">₹1.85M</w:t>
      </w:r>
    </w:p>
    <w:p>
      <w:pPr>
        <w:pStyle w:val="BodyText"/>
      </w:pPr>
      <w:r>
        <w:t xml:space="preserve">Total Revenue from Mumbai (INR)</w:t>
      </w:r>
    </w:p>
    <w:p>
      <w:pPr>
        <w:pStyle w:val="BodyText"/>
      </w:pPr>
      <w:r>
        <w:t xml:space="preserve">₹56.4M</w:t>
      </w:r>
    </w:p>
    <w:p>
      <w:pPr>
        <w:pStyle w:val="BodyText"/>
      </w:pPr>
      <w:r>
        <w:t xml:space="preserve">₹103.7M</w:t>
      </w:r>
    </w:p>
    <w:p>
      <w:pPr>
        <w:pStyle w:val="BodyText"/>
      </w:pPr>
      <w:r>
        <w:t xml:space="preserve">The 89% growth in contracts directly traces to Education Administrator field interventions. Notable wins include securing a city-wide LMS partnership with the Mumbai Municipal Corporation (BMC) for 220 schools—highlighting how the role’s local expertise converts large-scale opportunities into revenue.</w:t>
      </w:r>
    </w:p>
    <w:bookmarkEnd w:id="23"/>
    <w:bookmarkStart w:id="24" w:name="X1a175488d9eb455e19bc33e34cb1afbf0e17dfc"/>
    <w:p>
      <w:pPr>
        <w:pStyle w:val="Heading2"/>
      </w:pPr>
      <w:r>
        <w:t xml:space="preserve">V. Mumbai-Specific Challenges &amp; Administrator Solutions</w:t>
      </w:r>
    </w:p>
    <w:p>
      <w:pPr>
        <w:pStyle w:val="FirstParagraph"/>
      </w:pPr>
      <w:r>
        <w:t xml:space="preserve">Mumbai’s education market presents unique barriers that Education Administrators overcome:</w:t>
      </w:r>
    </w:p>
    <w:p>
      <w:pPr>
        <w:numPr>
          <w:ilvl w:val="0"/>
          <w:numId w:val="1002"/>
        </w:numPr>
        <w:pStyle w:val="Compact"/>
      </w:pPr>
      <w:r>
        <w:rPr>
          <w:bCs/>
          <w:b/>
        </w:rPr>
        <w:t xml:space="preserve">Fragmented Decision-Making:</w:t>
      </w:r>
      <w:r>
        <w:t xml:space="preserve"> </w:t>
      </w:r>
      <w:r>
        <w:t xml:space="preserve">In Mumbai, school boards often require consensus among principals, parents’ committees, and district officials. Administrators streamline this by hosting localized workshops (e.g., "Digital Transformation Roadmaps for Mumbai Schools" in Andheri), reducing sales cycles by 50%.</w:t>
      </w:r>
    </w:p>
    <w:p>
      <w:pPr>
        <w:numPr>
          <w:ilvl w:val="0"/>
          <w:numId w:val="1002"/>
        </w:numPr>
        <w:pStyle w:val="Compact"/>
      </w:pPr>
      <w:r>
        <w:rPr>
          <w:bCs/>
          <w:b/>
        </w:rPr>
        <w:t xml:space="preserve">Price Sensitivity:</w:t>
      </w:r>
      <w:r>
        <w:t xml:space="preserve"> </w:t>
      </w:r>
      <w:r>
        <w:t xml:space="preserve">With 68% of Mumbai schools operating on tight budgets, Administrators introduced phased pricing models (e.g., "Essential + Premium" bundles), increasing conversion rates from 31% to 57% in Tier-2 institutions.</w:t>
      </w:r>
    </w:p>
    <w:p>
      <w:pPr>
        <w:numPr>
          <w:ilvl w:val="0"/>
          <w:numId w:val="1002"/>
        </w:numPr>
        <w:pStyle w:val="Compact"/>
      </w:pPr>
      <w:r>
        <w:rPr>
          <w:bCs/>
          <w:b/>
        </w:rPr>
        <w:t xml:space="preserve">Cultural Nuance:</w:t>
      </w:r>
      <w:r>
        <w:t xml:space="preserve"> </w:t>
      </w:r>
      <w:r>
        <w:t xml:space="preserve">Admins tailor communication to Mumbai’s education culture—using Marathi in parent meetings and emphasizing "holistic development" (a key local priority) over generic tech features, boosting trust and deal closure.</w:t>
      </w:r>
    </w:p>
    <w:bookmarkEnd w:id="24"/>
    <w:bookmarkStart w:id="25" w:name="X671a5b01a8e279e18efa699d1e335d24126bbb7"/>
    <w:p>
      <w:pPr>
        <w:pStyle w:val="Heading2"/>
      </w:pPr>
      <w:r>
        <w:t xml:space="preserve">VI. Strategic Recommendations for India Mumbai Growth</w:t>
      </w:r>
    </w:p>
    <w:p>
      <w:pPr>
        <w:pStyle w:val="FirstParagraph"/>
      </w:pPr>
      <w:r>
        <w:t xml:space="preserve">To capitalize on Mumbai’s $850M education services market (NASSCOM 2023), we recommend:</w:t>
      </w:r>
    </w:p>
    <w:p>
      <w:pPr>
        <w:numPr>
          <w:ilvl w:val="0"/>
          <w:numId w:val="1003"/>
        </w:numPr>
        <w:pStyle w:val="Compact"/>
      </w:pPr>
      <w:r>
        <w:rPr>
          <w:bCs/>
          <w:b/>
        </w:rPr>
        <w:t xml:space="preserve">Expand Administrator Network:</w:t>
      </w:r>
      <w:r>
        <w:t xml:space="preserve"> </w:t>
      </w:r>
      <w:r>
        <w:t xml:space="preserve">Deploy 4 additional Education Administrators to cover underserved zones (e.g., Kalyan-Dombivli, Sion), targeting a 50% coverage increase in Mumbai’s municipal schools by Q2 2024.</w:t>
      </w:r>
    </w:p>
    <w:p>
      <w:pPr>
        <w:numPr>
          <w:ilvl w:val="0"/>
          <w:numId w:val="1003"/>
        </w:numPr>
        <w:pStyle w:val="Compact"/>
      </w:pPr>
      <w:r>
        <w:rPr>
          <w:bCs/>
          <w:b/>
        </w:rPr>
        <w:t xml:space="preserve">Leverage Mumbai Government Partnerships:</w:t>
      </w:r>
      <w:r>
        <w:t xml:space="preserve"> </w:t>
      </w:r>
      <w:r>
        <w:t xml:space="preserve">Align with MahaEdu initiatives to co-host events, positioning our solutions as policy-compliant—expected to unlock ₹180M+ in new pipeline.</w:t>
      </w:r>
    </w:p>
    <w:p>
      <w:pPr>
        <w:numPr>
          <w:ilvl w:val="0"/>
          <w:numId w:val="1003"/>
        </w:numPr>
        <w:pStyle w:val="Compact"/>
      </w:pPr>
      <w:r>
        <w:rPr>
          <w:bCs/>
          <w:b/>
        </w:rPr>
        <w:t xml:space="preserve">Data-Driven Local Insights:</w:t>
      </w:r>
      <w:r>
        <w:t xml:space="preserve"> </w:t>
      </w:r>
      <w:r>
        <w:t xml:space="preserve">Equip Administrators with Mumbai-specific analytics dashboards tracking trends like "exam season demand spikes," enabling proactive sales outreach during high-engagement periods (e.g., March–June).</w:t>
      </w:r>
    </w:p>
    <w:bookmarkEnd w:id="25"/>
    <w:bookmarkStart w:id="26" w:name="vii.-conclusion"/>
    <w:p>
      <w:pPr>
        <w:pStyle w:val="Heading2"/>
      </w:pPr>
      <w:r>
        <w:t xml:space="preserve">VII. Conclusion</w:t>
      </w:r>
    </w:p>
    <w:p>
      <w:pPr>
        <w:pStyle w:val="FirstParagraph"/>
      </w:pPr>
      <w:r>
        <w:t xml:space="preserve">This Sales Report confirms that the Education Administrator is not merely an operational role but a revenue engine uniquely optimized for India Mumbai’s education market. Through hyper-local engagement, compliance mastery, and trust-based relationship building, these professionals have driven exceptional sales growth where generic approaches fail. As Mumbai accelerates toward its 2030 "Smart Education City" vision under state policy, the Education Administrator will remain central to our sales strategy—ensuring every partnership aligns with Mumbai’s ambition to lead India’s education innovation. We project a further 45% revenue uplift in India Mumbai by FY2025 through scaled Administrator deployment. The time to invest is now.</w:t>
      </w:r>
    </w:p>
    <w:p>
      <w:pPr>
        <w:pStyle w:val="BodyText"/>
      </w:pPr>
      <w:r>
        <w:rPr>
          <w:bCs/>
          <w:b/>
        </w:rPr>
        <w:t xml:space="preserve">Prepared By:</w:t>
      </w:r>
      <w:r>
        <w:t xml:space="preserve"> </w:t>
      </w:r>
      <w:r>
        <w:t xml:space="preserve">Regional Sales Strategy Team, India Mumbai</w:t>
      </w:r>
      <w:r>
        <w:br/>
      </w:r>
      <w:r>
        <w:rPr>
          <w:bCs/>
          <w:b/>
        </w:rPr>
        <w:t xml:space="preserve">Key Contact:</w:t>
      </w:r>
      <w:r>
        <w:t xml:space="preserve"> </w:t>
      </w:r>
      <w:r>
        <w:t xml:space="preserve">Priya Sharma, Education Solutions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India Mumbai</dc:title>
  <dc:creator/>
  <dc:language>en</dc:language>
  <cp:keywords/>
  <dcterms:created xsi:type="dcterms:W3CDTF">2026-07-23T15:11:02Z</dcterms:created>
  <dcterms:modified xsi:type="dcterms:W3CDTF">2026-07-23T15:11:02Z</dcterms:modified>
</cp:coreProperties>
</file>

<file path=docProps/custom.xml><?xml version="1.0" encoding="utf-8"?>
<Properties xmlns="http://schemas.openxmlformats.org/officeDocument/2006/custom-properties" xmlns:vt="http://schemas.openxmlformats.org/officeDocument/2006/docPropsVTypes"/>
</file>