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756900cf40aabea2f983cf2281b66a62070d610"/>
    <w:p>
      <w:pPr>
        <w:pStyle w:val="Heading1"/>
      </w:pPr>
      <w:r>
        <w:t xml:space="preserve">Quarterly Sales Performance Report: Education Administrator Team - India New Delhi</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the dynamic education landscape of India, with primary focus on New Delhi. The report analyzes sales metrics, market trends, and strategic initiatives implemented during Q3 2023 (July-September). Our Education Administrator role has proven critical in navigating New Delhi's complex educational ecosystem, driving a 18.7% year-over-year increase in revenue from institutional clients. This success underscores the indispensable value of specialized education sales management within India's evolving academic sector.</w:t>
      </w:r>
    </w:p>
    <w:bookmarkEnd w:id="20"/>
    <w:bookmarkStart w:id="21" w:name="X432f86bb7703c6d42c219bb428242b305aff653"/>
    <w:p>
      <w:pPr>
        <w:pStyle w:val="Heading2"/>
      </w:pPr>
      <w:r>
        <w:t xml:space="preserve">Market Context: India New Delhi Educational Landscape</w:t>
      </w:r>
    </w:p>
    <w:p>
      <w:pPr>
        <w:pStyle w:val="FirstParagraph"/>
      </w:pPr>
      <w:r>
        <w:t xml:space="preserve">New Delhi represents the nerve center of India's educational revolution, housing over 15% of the nation's premier institutions including IITs, AIIMS, and 780+ private schools under the Directorate of Education. With government initiatives like NEP 2020 driving digital transformation across 52,000+ schools nationwide, demand for integrated education management solutions has surged. Our Sales Report confirms that New Delhi alone accounts for 34% of our national education technology sales volume—a testament to the strategic importance of this market. The Education Administrator in this context serves as the vital bridge between cutting-edge edtech products and institutional decision-makers navigating India's regulatory framework.</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Target Achievement</w:t>
            </w:r>
          </w:p>
        </w:tc>
      </w:tr>
      <w:tr>
        <w:tc>
          <w:tcPr/>
          <w:p>
            <w:pPr>
              <w:pStyle w:val="Compact"/>
              <w:jc w:val="left"/>
            </w:pPr>
            <w:r>
              <w:t xml:space="preserve">Total Revenue (INR)</w:t>
            </w:r>
          </w:p>
        </w:tc>
        <w:tc>
          <w:tcPr/>
          <w:p>
            <w:pPr>
              <w:pStyle w:val="Compact"/>
              <w:jc w:val="left"/>
            </w:pPr>
            <w:r>
              <w:t xml:space="preserve">₹4.8 Cr</w:t>
            </w:r>
          </w:p>
        </w:tc>
        <w:tc>
          <w:tcPr/>
          <w:p>
            <w:pPr>
              <w:pStyle w:val="Compact"/>
              <w:jc w:val="left"/>
            </w:pPr>
            <w:r>
              <w:t xml:space="preserve">+18.7%</w:t>
            </w:r>
          </w:p>
        </w:tc>
        <w:tc>
          <w:tcPr/>
          <w:p>
            <w:pPr>
              <w:pStyle w:val="Compact"/>
              <w:jc w:val="left"/>
            </w:pPr>
            <w:r>
              <w:t xml:space="preserve">122% of Target</w:t>
            </w:r>
          </w:p>
        </w:tc>
      </w:tr>
      <w:tr>
        <w:tc>
          <w:tcPr/>
          <w:p>
            <w:pPr>
              <w:pStyle w:val="Compact"/>
              <w:jc w:val="left"/>
            </w:pPr>
            <w:r>
              <w:t xml:space="preserve">New Institutional Clients</w:t>
            </w:r>
          </w:p>
        </w:tc>
        <w:tc>
          <w:tcPr/>
          <w:p>
            <w:pPr>
              <w:pStyle w:val="Compact"/>
              <w:jc w:val="left"/>
            </w:pPr>
            <w:r>
              <w:t xml:space="preserve">37 (New Delhi)</w:t>
            </w:r>
          </w:p>
        </w:tc>
        <w:tc>
          <w:tcPr/>
          <w:p>
            <w:pPr>
              <w:pStyle w:val="Compact"/>
              <w:jc w:val="left"/>
            </w:pPr>
            <w:r>
              <w:t xml:space="preserve">64% Increase YoY</w:t>
            </w:r>
          </w:p>
        </w:tc>
        <w:tc>
          <w:tcPr/>
          <w:p>
            <w:pPr>
              <w:pStyle w:val="Compact"/>
            </w:pPr>
          </w:p>
        </w:tc>
      </w:tr>
      <w:tr>
        <w:tc>
          <w:tcPr/>
          <w:p>
            <w:pPr>
              <w:pStyle w:val="Compact"/>
              <w:jc w:val="left"/>
            </w:pPr>
            <w:r>
              <w:t xml:space="preserve">Solution Adoption Rate</w:t>
            </w:r>
          </w:p>
        </w:tc>
        <w:tc>
          <w:tcPr/>
          <w:p>
            <w:pPr>
              <w:pStyle w:val="Compact"/>
              <w:jc w:val="left"/>
            </w:pPr>
            <w:r>
              <w:t xml:space="preserve">82%</w:t>
            </w:r>
          </w:p>
        </w:tc>
        <w:tc>
          <w:tcPr/>
          <w:p>
            <w:pPr>
              <w:pStyle w:val="Compact"/>
              <w:jc w:val="left"/>
            </w:pPr>
            <w:r>
              <w:t xml:space="preserve">+21 pts vs 2022</w:t>
            </w:r>
          </w:p>
        </w:tc>
        <w:tc>
          <w:tcPr/>
          <w:p>
            <w:pPr>
              <w:pStyle w:val="Compact"/>
            </w:pPr>
          </w:p>
        </w:tc>
      </w:tr>
      <w:tr>
        <w:tc>
          <w:tcPr/>
          <w:p>
            <w:pPr>
              <w:pStyle w:val="Compact"/>
              <w:jc w:val="left"/>
            </w:pPr>
            <w:r>
              <w:t xml:space="preserve">Cross-Sell Ratio (to Existing Clients)</w:t>
            </w:r>
          </w:p>
        </w:tc>
        <w:tc>
          <w:tcPr/>
          <w:p>
            <w:pPr>
              <w:pStyle w:val="Compact"/>
              <w:jc w:val="left"/>
            </w:pPr>
            <w:r>
              <w:t xml:space="preserve">1.8x</w:t>
            </w:r>
          </w:p>
        </w:tc>
        <w:tc>
          <w:tcPr/>
          <w:p>
            <w:pPr>
              <w:pStyle w:val="Compact"/>
              <w:jc w:val="left"/>
            </w:pPr>
            <w:r>
              <w:t xml:space="preserve">+35% YoY</w:t>
            </w:r>
          </w:p>
        </w:tc>
        <w:tc>
          <w:tcPr/>
          <w:p>
            <w:pPr>
              <w:pStyle w:val="Compact"/>
            </w:pPr>
          </w:p>
        </w:tc>
      </w:tr>
    </w:tbl>
    <w:bookmarkEnd w:id="22"/>
    <w:bookmarkStart w:id="26" w:name="Xab85f33d9fc5c883323aaef363bab5c955094ad"/>
    <w:p>
      <w:pPr>
        <w:pStyle w:val="Heading2"/>
      </w:pPr>
      <w:r>
        <w:t xml:space="preserve">Strategic Initiatives Driven by Education Administrator Team</w:t>
      </w:r>
    </w:p>
    <w:p>
      <w:pPr>
        <w:pStyle w:val="FirstParagraph"/>
      </w:pPr>
      <w:r>
        <w:t xml:space="preserve">The New Delhi Education Administrator team executed three pivotal strategies that directly contributed to our Q3 success:</w:t>
      </w:r>
    </w:p>
    <w:bookmarkStart w:id="23" w:name="nep-2020-compliance-integration"/>
    <w:p>
      <w:pPr>
        <w:pStyle w:val="Heading3"/>
      </w:pPr>
      <w:r>
        <w:t xml:space="preserve">1. NEP 2020 Compliance Integration</w:t>
      </w:r>
    </w:p>
    <w:p>
      <w:pPr>
        <w:pStyle w:val="FirstParagraph"/>
      </w:pPr>
      <w:r>
        <w:t xml:space="preserve">Our Education Administrator developed specialized sales kits aligned with National Education Policy 2020 mandates, including AI-driven student performance analytics and multilingual content modules. This positioned us as policy-compliant partners for 68% of new school contracts in Delhi NCR. For instance, the partnership with Delhi Public School Society (New Delhi) secured a ₹1.2 Cr contract through tailored compliance solutions—a first for our organization in India.</w:t>
      </w:r>
    </w:p>
    <w:bookmarkEnd w:id="23"/>
    <w:bookmarkStart w:id="24" w:name="government-partnership-program"/>
    <w:p>
      <w:pPr>
        <w:pStyle w:val="Heading3"/>
      </w:pPr>
      <w:r>
        <w:t xml:space="preserve">2. Government Partnership Program</w:t>
      </w:r>
    </w:p>
    <w:p>
      <w:pPr>
        <w:pStyle w:val="FirstParagraph"/>
      </w:pPr>
      <w:r>
        <w:t xml:space="preserve">Recognizing that 47% of New Delhi's schools fall under government management, the Education Administrator team established direct engagement channels with the Delhi School Education Department (DSED). This resulted in three Tier-1 municipal school clusters adopting our learning management system, representing a ₹2.1 Cr opportunity. The Sales Report notes that DSED contracts now account for 31% of New Delhi revenue—a strategic shift from previous reliance on private institutions.</w:t>
      </w:r>
    </w:p>
    <w:bookmarkEnd w:id="24"/>
    <w:bookmarkStart w:id="25" w:name="localized-digital-onboarding"/>
    <w:p>
      <w:pPr>
        <w:pStyle w:val="Heading3"/>
      </w:pPr>
      <w:r>
        <w:t xml:space="preserve">3. Localized Digital Onboarding</w:t>
      </w:r>
    </w:p>
    <w:p>
      <w:pPr>
        <w:pStyle w:val="FirstParagraph"/>
      </w:pPr>
      <w:r>
        <w:t xml:space="preserve">To address New Delhi's unique infrastructure challenges, our Education Administrator implemented 'NCR-Ready' digital enablement: offline-first mobile applications for schools with intermittent internet, multilingual support in 8 regional languages, and on-ground technician teams deployed across Delhi's 11 districts. This reduced implementation timelines by 42% and increased client satisfaction scores to 4.7/5.</w:t>
      </w:r>
    </w:p>
    <w:bookmarkEnd w:id="25"/>
    <w:bookmarkEnd w:id="26"/>
    <w:bookmarkStart w:id="27" w:name="X3f17315d9333fcccce9a56ed1ade7073662b472"/>
    <w:p>
      <w:pPr>
        <w:pStyle w:val="Heading2"/>
      </w:pPr>
      <w:r>
        <w:t xml:space="preserve">Challenges Encountered in India New Delhi Market</w:t>
      </w:r>
    </w:p>
    <w:p>
      <w:pPr>
        <w:pStyle w:val="FirstParagraph"/>
      </w:pPr>
      <w:r>
        <w:t xml:space="preserve">The Sales Report identifies critical challenges specific to our New Delhi operations:</w:t>
      </w:r>
    </w:p>
    <w:p>
      <w:pPr>
        <w:numPr>
          <w:ilvl w:val="0"/>
          <w:numId w:val="1001"/>
        </w:numPr>
        <w:pStyle w:val="Compact"/>
      </w:pPr>
      <w:r>
        <w:rPr>
          <w:bCs/>
          <w:b/>
        </w:rPr>
        <w:t xml:space="preserve">Regulatory Complexity:</w:t>
      </w:r>
      <w:r>
        <w:t xml:space="preserve"> </w:t>
      </w:r>
      <w:r>
        <w:t xml:space="preserve">Multiple compliance frameworks across Delhi state vs. central education ministry requirements increased sales cycle length by 30%. The Education Administrator team mitigated this through dedicated regulatory liaison officers.</w:t>
      </w:r>
    </w:p>
    <w:p>
      <w:pPr>
        <w:numPr>
          <w:ilvl w:val="0"/>
          <w:numId w:val="1001"/>
        </w:numPr>
        <w:pStyle w:val="Compact"/>
      </w:pPr>
      <w:r>
        <w:rPr>
          <w:bCs/>
          <w:b/>
        </w:rPr>
        <w:t xml:space="preserve">Price Sensitivity:</w:t>
      </w:r>
      <w:r>
        <w:t xml:space="preserve"> </w:t>
      </w:r>
      <w:r>
        <w:t xml:space="preserve">Government schools demand 25% lower pricing than private institutions, requiring our pricing strategy to pivot toward value-based contracts rather than revenue targets. The Education Administrator developed tiered subscription models addressing this gap.</w:t>
      </w:r>
    </w:p>
    <w:p>
      <w:pPr>
        <w:numPr>
          <w:ilvl w:val="0"/>
          <w:numId w:val="1001"/>
        </w:numPr>
        <w:pStyle w:val="Compact"/>
      </w:pPr>
      <w:r>
        <w:rPr>
          <w:bCs/>
          <w:b/>
        </w:rPr>
        <w:t xml:space="preserve">Competitive Landscape:</w:t>
      </w:r>
      <w:r>
        <w:t xml:space="preserve"> </w:t>
      </w:r>
      <w:r>
        <w:t xml:space="preserve">Local players like EdTech India and national firms (e.g., Byju's) aggressively undercut bids in New Delhi's crowded market. Our solution differentiation through NEP-aligned features became the decisive factor in 73% of won deals.</w:t>
      </w:r>
    </w:p>
    <w:bookmarkEnd w:id="27"/>
    <w:bookmarkStart w:id="28" w:name="Xa32f8d3b2f0ecb672e6ac52b0c53a00b21a30c7"/>
    <w:p>
      <w:pPr>
        <w:pStyle w:val="Heading2"/>
      </w:pPr>
      <w:r>
        <w:t xml:space="preserve">Future Roadmap for Education Administrator Excellence</w:t>
      </w:r>
    </w:p>
    <w:p>
      <w:pPr>
        <w:pStyle w:val="FirstParagraph"/>
      </w:pPr>
      <w:r>
        <w:t xml:space="preserve">Based on our India New Delhi sales trajectory, we recommend these strategic priorities for the Education Administrator team:</w:t>
      </w:r>
    </w:p>
    <w:p>
      <w:pPr>
        <w:numPr>
          <w:ilvl w:val="0"/>
          <w:numId w:val="1002"/>
        </w:numPr>
        <w:pStyle w:val="Compact"/>
      </w:pPr>
      <w:r>
        <w:rPr>
          <w:bCs/>
          <w:b/>
        </w:rPr>
        <w:t xml:space="preserve">Expand to Tier-2 Cities (NCR):</w:t>
      </w:r>
      <w:r>
        <w:t xml:space="preserve"> </w:t>
      </w:r>
      <w:r>
        <w:t xml:space="preserve">Target Gurgaon and Noida with localized sales teams—projected to capture 15% market share in these emerging education hubs by Q2 2024.</w:t>
      </w:r>
    </w:p>
    <w:p>
      <w:pPr>
        <w:numPr>
          <w:ilvl w:val="0"/>
          <w:numId w:val="1002"/>
        </w:numPr>
        <w:pStyle w:val="Compact"/>
      </w:pPr>
      <w:r>
        <w:rPr>
          <w:bCs/>
          <w:b/>
        </w:rPr>
        <w:t xml:space="preserve">Government Tender Specialization:</w:t>
      </w:r>
      <w:r>
        <w:t xml:space="preserve"> </w:t>
      </w:r>
      <w:r>
        <w:t xml:space="preserve">Develop a dedicated DSED bid management unit under Education Administrator leadership to capitalize on Delhi's ₹98 Cr annual education tech procurement budget.</w:t>
      </w:r>
    </w:p>
    <w:p>
      <w:pPr>
        <w:numPr>
          <w:ilvl w:val="0"/>
          <w:numId w:val="1002"/>
        </w:numPr>
        <w:pStyle w:val="Compact"/>
      </w:pPr>
      <w:r>
        <w:rPr>
          <w:bCs/>
          <w:b/>
        </w:rPr>
        <w:t xml:space="preserve">Data-Driven Client Insights:</w:t>
      </w:r>
      <w:r>
        <w:t xml:space="preserve"> </w:t>
      </w:r>
      <w:r>
        <w:t xml:space="preserve">Implement AI-powered sales analytics (currently piloted in New Delhi) to predict institutional needs 6 months ahead, targeting 20% higher conversion rates.</w:t>
      </w:r>
    </w:p>
    <w:bookmarkEnd w:id="28"/>
    <w:bookmarkStart w:id="29" w:name="X66ac324bde09d1fa1dc1920411f323518812d4b"/>
    <w:p>
      <w:pPr>
        <w:pStyle w:val="Heading2"/>
      </w:pPr>
      <w:r>
        <w:t xml:space="preserve">Conclusion: The India New Delhi Imperative</w:t>
      </w:r>
    </w:p>
    <w:p>
      <w:pPr>
        <w:pStyle w:val="FirstParagraph"/>
      </w:pPr>
      <w:r>
        <w:t xml:space="preserve">This Sales Report unequivocally demonstrates that the Education Administrator role is not merely a sales position but a strategic catalyst for market leadership in India. In New Delhi—a microcosm of national education challenges and opportunities—our team has transformed from transaction-focused sellers to trusted policy advisors. The 18.7% revenue growth isn't just a number; it's proof that when education administrators deeply understand India's educational ecosystem, they unlock sustainable growth in one of the world's most competitive edtech markets.</w:t>
      </w:r>
    </w:p>
    <w:p>
      <w:pPr>
        <w:pStyle w:val="BodyText"/>
      </w:pPr>
      <w:r>
        <w:t xml:space="preserve">As we move into Q4, our Education Administrator team will prioritize scaling New Delhi’s successful model across 5 additional Indian states. The data from this Sales Report confirms: In India's education revolution, New Delhi is where strategy meets execution—and where Education Administrators deliver the results that transform markets.</w:t>
      </w:r>
    </w:p>
    <w:p>
      <w:pPr>
        <w:pStyle w:val="BodyText"/>
      </w:pPr>
      <w:r>
        <w:rPr>
          <w:bCs/>
          <w:b/>
        </w:rPr>
        <w:t xml:space="preserve">Prepared by:</w:t>
      </w:r>
      <w:r>
        <w:t xml:space="preserve"> </w:t>
      </w:r>
      <w:r>
        <w:t xml:space="preserve">National Education Sales Strategy Office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Executive Leadership, India Operations, Product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India New Delhi Market</dc:title>
  <dc:creator/>
  <dc:language>en</dc:language>
  <cp:keywords/>
  <dcterms:created xsi:type="dcterms:W3CDTF">2026-07-23T14:49:25Z</dcterms:created>
  <dcterms:modified xsi:type="dcterms:W3CDTF">2026-07-23T14:49:25Z</dcterms:modified>
</cp:coreProperties>
</file>

<file path=docProps/custom.xml><?xml version="1.0" encoding="utf-8"?>
<Properties xmlns="http://schemas.openxmlformats.org/officeDocument/2006/custom-properties" xmlns:vt="http://schemas.openxmlformats.org/officeDocument/2006/docPropsVTypes"/>
</file>