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Education</w:t>
      </w:r>
      <w:r>
        <w:t xml:space="preserve"> </w:t>
      </w:r>
      <w:r>
        <w:t xml:space="preserve">Administrator</w:t>
      </w:r>
      <w:r>
        <w:t xml:space="preserve"> </w:t>
      </w:r>
      <w:r>
        <w:t xml:space="preserve">Performance</w:t>
      </w:r>
      <w:r>
        <w:t xml:space="preserve"> </w:t>
      </w:r>
      <w:r>
        <w:t xml:space="preserve">in</w:t>
      </w:r>
      <w:r>
        <w:t xml:space="preserve"> </w:t>
      </w:r>
      <w:r>
        <w:t xml:space="preserve">Indonesia</w:t>
      </w:r>
      <w:r>
        <w:t xml:space="preserve"> </w:t>
      </w:r>
      <w:r>
        <w:t xml:space="preserve">Jakarta</w:t>
      </w:r>
    </w:p>
    <w:bookmarkStart w:id="28" w:name="X61689ad142a3c218c23f52e8a7f24e9a1e90c61"/>
    <w:p>
      <w:pPr>
        <w:pStyle w:val="Heading1"/>
      </w:pPr>
      <w:r>
        <w:t xml:space="preserve">SALES REPORT FOR EDUCATION ADMINISTRATOR PERFORMANCE IN INDONESIA JAKARTA</w:t>
      </w:r>
    </w:p>
    <w:bookmarkStart w:id="20" w:name="executive-summary"/>
    <w:p>
      <w:pPr>
        <w:pStyle w:val="Heading2"/>
      </w:pPr>
      <w:r>
        <w:t xml:space="preserve">Executive Summary</w:t>
      </w:r>
    </w:p>
    <w:p>
      <w:pPr>
        <w:pStyle w:val="FirstParagraph"/>
      </w:pPr>
      <w:r>
        <w:t xml:space="preserve">This comprehensive Sales Report details the operational achievements of our Education Administrator team in Indonesia Jakarta during Q3 2023. As a pivotal role within our educational technology division, the Education Administrator has been instrumental in driving revenue growth across Jakarta's dynamic education sector. This report demonstrates how strategic implementation of sales initiatives under this role directly contributed to a 27% year-over-year increase in contract acquisitions and a 19% expansion of market share within Jakarta's private and public school networks.</w:t>
      </w:r>
    </w:p>
    <w:bookmarkEnd w:id="20"/>
    <w:bookmarkStart w:id="21" w:name="market-context-in-indonesia-jakarta"/>
    <w:p>
      <w:pPr>
        <w:pStyle w:val="Heading2"/>
      </w:pPr>
      <w:r>
        <w:t xml:space="preserve">Market Context in Indonesia Jakarta</w:t>
      </w:r>
    </w:p>
    <w:p>
      <w:pPr>
        <w:pStyle w:val="FirstParagraph"/>
      </w:pPr>
      <w:r>
        <w:t xml:space="preserve">Indonesia Jakarta represents one of the most critical education markets in Southeast Asia, housing over 3,200 educational institutions and serving approximately 5.7 million students. The Jakarta education sector has undergone significant transformation following the Ministry of Education's digital transformation mandate (Permendikbud No. 16/2023), creating urgent demand for integrated learning management systems (LMS) and administrative software solutions. As an Education Administrator operating within this high-stakes environment, our team has navigated Jakarta's unique regulatory landscape while capitalizing on the city's rapid adoption of EdTech solutions.</w:t>
      </w:r>
    </w:p>
    <w:bookmarkEnd w:id="21"/>
    <w:bookmarkStart w:id="22" w:name="key-sales-performance-metrics"/>
    <w:p>
      <w:pPr>
        <w:pStyle w:val="Heading2"/>
      </w:pPr>
      <w:r>
        <w:t xml:space="preserve">Key Sales Performance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YoY Change</w:t>
            </w:r>
          </w:p>
        </w:tc>
      </w:tr>
      <w:tr>
        <w:tc>
          <w:tcPr/>
          <w:p>
            <w:pPr>
              <w:pStyle w:val="Compact"/>
              <w:jc w:val="left"/>
            </w:pPr>
            <w:r>
              <w:rPr>
                <w:bCs/>
                <w:b/>
              </w:rPr>
              <w:t xml:space="preserve">New Institutional Contracts Signed</w:t>
            </w:r>
          </w:p>
        </w:tc>
        <w:tc>
          <w:tcPr/>
          <w:p>
            <w:pPr>
              <w:pStyle w:val="Compact"/>
              <w:jc w:val="left"/>
            </w:pPr>
            <w:r>
              <w:t xml:space="preserve">87</w:t>
            </w:r>
          </w:p>
        </w:tc>
        <w:tc>
          <w:tcPr/>
          <w:p>
            <w:pPr>
              <w:pStyle w:val="Compact"/>
              <w:jc w:val="left"/>
            </w:pPr>
            <w:r>
              <w:t xml:space="preserve">65</w:t>
            </w:r>
          </w:p>
        </w:tc>
        <w:tc>
          <w:tcPr/>
          <w:p>
            <w:pPr>
              <w:pStyle w:val="Compact"/>
              <w:jc w:val="left"/>
            </w:pPr>
            <w:r>
              <w:t xml:space="preserve">+33.8%</w:t>
            </w:r>
          </w:p>
        </w:tc>
      </w:tr>
      <w:tr>
        <w:tc>
          <w:tcPr/>
          <w:p>
            <w:pPr>
              <w:pStyle w:val="Compact"/>
              <w:jc w:val="left"/>
            </w:pPr>
            <w:r>
              <w:rPr>
                <w:bCs/>
                <w:b/>
              </w:rPr>
              <w:t xml:space="preserve">Total Revenue Generated</w:t>
            </w:r>
          </w:p>
        </w:tc>
        <w:tc>
          <w:tcPr/>
          <w:p>
            <w:pPr>
              <w:pStyle w:val="Compact"/>
              <w:jc w:val="left"/>
            </w:pPr>
            <w:r>
              <w:t xml:space="preserve">IDR 24.7B</w:t>
            </w:r>
          </w:p>
        </w:tc>
        <w:tc>
          <w:tcPr/>
          <w:p>
            <w:pPr>
              <w:pStyle w:val="Compact"/>
              <w:jc w:val="left"/>
            </w:pPr>
            <w:r>
              <w:t xml:space="preserve">IDR 19.5B</w:t>
            </w:r>
          </w:p>
        </w:tc>
        <w:tc>
          <w:tcPr/>
          <w:p>
            <w:pPr>
              <w:pStyle w:val="Compact"/>
              <w:jc w:val="left"/>
            </w:pPr>
            <w:r>
              <w:t xml:space="preserve">+26.7%</w:t>
            </w:r>
          </w:p>
        </w:tc>
      </w:tr>
      <w:tr>
        <w:tc>
          <w:tcPr/>
          <w:p>
            <w:pPr>
              <w:pStyle w:val="Compact"/>
              <w:jc w:val="left"/>
            </w:pPr>
            <w:r>
              <w:rPr>
                <w:bCs/>
                <w:b/>
              </w:rPr>
              <w:t xml:space="preserve">Client Retention Rate</w:t>
            </w:r>
          </w:p>
        </w:tc>
        <w:tc>
          <w:tcPr/>
          <w:p>
            <w:pPr>
              <w:pStyle w:val="Compact"/>
              <w:jc w:val="left"/>
            </w:pPr>
            <w:r>
              <w:t xml:space="preserve">94%</w:t>
            </w:r>
          </w:p>
        </w:tc>
        <w:tc>
          <w:tcPr/>
          <w:p>
            <w:pPr>
              <w:pStyle w:val="Compact"/>
              <w:jc w:val="left"/>
            </w:pPr>
            <w:r>
              <w:t xml:space="preserve">88%</w:t>
            </w:r>
          </w:p>
        </w:tc>
        <w:tc>
          <w:tcPr/>
          <w:p>
            <w:pPr>
              <w:pStyle w:val="Compact"/>
              <w:jc w:val="left"/>
            </w:pPr>
            <w:r>
              <w:t xml:space="preserve">+6.0%</w:t>
            </w:r>
          </w:p>
        </w:tc>
      </w:tr>
      <w:tr>
        <w:tc>
          <w:tcPr/>
          <w:p>
            <w:pPr>
              <w:pStyle w:val="Compact"/>
              <w:jc w:val="left"/>
            </w:pPr>
            <w:r>
              <w:rPr>
                <w:bCs/>
                <w:b/>
              </w:rPr>
              <w:t xml:space="preserve">Sales Cycle Duration</w:t>
            </w:r>
          </w:p>
        </w:tc>
        <w:tc>
          <w:tcPr/>
          <w:p>
            <w:pPr>
              <w:pStyle w:val="Compact"/>
              <w:jc w:val="left"/>
            </w:pPr>
            <w:r>
              <w:t xml:space="preserve">47 days</w:t>
            </w:r>
          </w:p>
        </w:tc>
        <w:tc>
          <w:tcPr/>
          <w:p>
            <w:pPr>
              <w:pStyle w:val="Compact"/>
              <w:jc w:val="left"/>
            </w:pPr>
            <w:r>
              <w:t xml:space="preserve">58 days</w:t>
            </w:r>
          </w:p>
        </w:tc>
        <w:tc>
          <w:tcPr/>
          <w:p>
            <w:pPr>
              <w:pStyle w:val="Compact"/>
              <w:jc w:val="left"/>
            </w:pPr>
            <w:r>
              <w:t xml:space="preserve">-19.0%</w:t>
            </w:r>
          </w:p>
        </w:tc>
      </w:tr>
    </w:tbl>
    <w:bookmarkEnd w:id="22"/>
    <w:bookmarkStart w:id="23" w:name="education-administrator-impact-analysis"/>
    <w:p>
      <w:pPr>
        <w:pStyle w:val="Heading2"/>
      </w:pPr>
      <w:r>
        <w:t xml:space="preserve">Education Administrator Impact Analysis</w:t>
      </w:r>
    </w:p>
    <w:p>
      <w:pPr>
        <w:pStyle w:val="FirstParagraph"/>
      </w:pPr>
      <w:r>
        <w:t xml:space="preserve">The success in Indonesia Jakarta can be directly attributed to our Education Administrator's specialized approach. Unlike generic sales roles, this position requires deep understanding of Indonesia's education ecosystem, including:</w:t>
      </w:r>
    </w:p>
    <w:p>
      <w:pPr>
        <w:numPr>
          <w:ilvl w:val="0"/>
          <w:numId w:val="1001"/>
        </w:numPr>
        <w:pStyle w:val="Compact"/>
      </w:pPr>
      <w:r>
        <w:rPr>
          <w:bCs/>
          <w:b/>
        </w:rPr>
        <w:t xml:space="preserve">Cultural Intelligence:</w:t>
      </w:r>
      <w:r>
        <w:t xml:space="preserve"> </w:t>
      </w:r>
      <w:r>
        <w:t xml:space="preserve">Understanding Jakarta's school hierarchy (from Dinas Pendidikan to principal-level decision makers) and navigating local procurement protocols</w:t>
      </w:r>
    </w:p>
    <w:p>
      <w:pPr>
        <w:numPr>
          <w:ilvl w:val="0"/>
          <w:numId w:val="1001"/>
        </w:numPr>
        <w:pStyle w:val="Compact"/>
      </w:pPr>
      <w:r>
        <w:rPr>
          <w:bCs/>
          <w:b/>
        </w:rPr>
        <w:t xml:space="preserve">Regulatory Compliance:</w:t>
      </w:r>
      <w:r>
        <w:t xml:space="preserve"> </w:t>
      </w:r>
      <w:r>
        <w:t xml:space="preserve">Ensuring all solutions meet Permendikbud standards for student data privacy (UU ITE 2022)</w:t>
      </w:r>
    </w:p>
    <w:p>
      <w:pPr>
        <w:numPr>
          <w:ilvl w:val="0"/>
          <w:numId w:val="1001"/>
        </w:numPr>
        <w:pStyle w:val="Compact"/>
      </w:pPr>
      <w:r>
        <w:rPr>
          <w:bCs/>
          <w:b/>
        </w:rPr>
        <w:t xml:space="preserve">Localized Value Proposition:</w:t>
      </w:r>
      <w:r>
        <w:t xml:space="preserve"> </w:t>
      </w:r>
      <w:r>
        <w:t xml:space="preserve">Adapting product demonstrations to showcase how our LMS reduces administrative burdens during Jakarta's rigorous school accreditation cycles</w:t>
      </w:r>
    </w:p>
    <w:p>
      <w:pPr>
        <w:pStyle w:val="FirstParagraph"/>
      </w:pPr>
      <w:r>
        <w:t xml:space="preserve">Specifically, the Education Administrator implemented a Jakarta-specific sales strategy that included:</w:t>
      </w:r>
    </w:p>
    <w:p>
      <w:pPr>
        <w:numPr>
          <w:ilvl w:val="0"/>
          <w:numId w:val="1002"/>
        </w:numPr>
        <w:pStyle w:val="Compact"/>
      </w:pPr>
      <w:r>
        <w:rPr>
          <w:bCs/>
          <w:b/>
        </w:rPr>
        <w:t xml:space="preserve">Quarterly School Visits:</w:t>
      </w:r>
      <w:r>
        <w:t xml:space="preserve"> </w:t>
      </w:r>
      <w:r>
        <w:t xml:space="preserve">Conducting 142 site visits across Jakarta's educational zones (Kota, Bekasi, Depok) to build trust with school administrators</w:t>
      </w:r>
    </w:p>
    <w:p>
      <w:pPr>
        <w:numPr>
          <w:ilvl w:val="0"/>
          <w:numId w:val="1002"/>
        </w:numPr>
        <w:pStyle w:val="Compact"/>
      </w:pPr>
      <w:r>
        <w:rPr>
          <w:bCs/>
          <w:b/>
        </w:rPr>
        <w:t xml:space="preserve">Government Partnership Program:</w:t>
      </w:r>
      <w:r>
        <w:t xml:space="preserve"> </w:t>
      </w:r>
      <w:r>
        <w:t xml:space="preserve">Successfully onboarding 3 district education offices as pilot partners for our data analytics module</w:t>
      </w:r>
    </w:p>
    <w:p>
      <w:pPr>
        <w:numPr>
          <w:ilvl w:val="0"/>
          <w:numId w:val="1002"/>
        </w:numPr>
        <w:pStyle w:val="Compact"/>
      </w:pPr>
      <w:r>
        <w:rPr>
          <w:bCs/>
          <w:b/>
        </w:rPr>
        <w:t xml:space="preserve">Competitor Analysis Framework:</w:t>
      </w:r>
      <w:r>
        <w:t xml:space="preserve"> </w:t>
      </w:r>
      <w:r>
        <w:t xml:space="preserve">Developing Jakarta-specific benchmarks against local EdTech providers (e.g., Ruangguru, Zenius)</w:t>
      </w:r>
    </w:p>
    <w:bookmarkEnd w:id="23"/>
    <w:bookmarkStart w:id="24" w:name="challenges-overcome-in-indonesia-jakarta"/>
    <w:p>
      <w:pPr>
        <w:pStyle w:val="Heading2"/>
      </w:pPr>
      <w:r>
        <w:t xml:space="preserve">Challenges Overcome in Indonesia Jakarta</w:t>
      </w:r>
    </w:p>
    <w:p>
      <w:pPr>
        <w:pStyle w:val="FirstParagraph"/>
      </w:pPr>
      <w:r>
        <w:t xml:space="preserve">Operating within Jakarta presented unique challenges that the Education Administrator effectively navigated:</w:t>
      </w:r>
    </w:p>
    <w:p>
      <w:pPr>
        <w:numPr>
          <w:ilvl w:val="0"/>
          <w:numId w:val="1003"/>
        </w:numPr>
        <w:pStyle w:val="Compact"/>
      </w:pPr>
      <w:r>
        <w:rPr>
          <w:bCs/>
          <w:b/>
        </w:rPr>
        <w:t xml:space="preserve">Infrastructure Limitations:</w:t>
      </w:r>
      <w:r>
        <w:t xml:space="preserve"> </w:t>
      </w:r>
      <w:r>
        <w:t xml:space="preserve">Implemented offline-capable modules for schools in Jakarta's peri-urban areas with unreliable internet connectivity</w:t>
      </w:r>
    </w:p>
    <w:p>
      <w:pPr>
        <w:numPr>
          <w:ilvl w:val="0"/>
          <w:numId w:val="1003"/>
        </w:numPr>
        <w:pStyle w:val="Compact"/>
      </w:pPr>
      <w:r>
        <w:rPr>
          <w:bCs/>
          <w:b/>
        </w:rPr>
        <w:t xml:space="preserve">Cultural Resistance:</w:t>
      </w:r>
      <w:r>
        <w:t xml:space="preserve"> </w:t>
      </w:r>
      <w:r>
        <w:t xml:space="preserve">Developed training workshops for Jakarta school administrators that emphasized "time-saving benefits" over technical features (addressing traditional reluctance to adopt digital tools)</w:t>
      </w:r>
    </w:p>
    <w:p>
      <w:pPr>
        <w:numPr>
          <w:ilvl w:val="0"/>
          <w:numId w:val="1003"/>
        </w:numPr>
        <w:pStyle w:val="Compact"/>
      </w:pPr>
      <w:r>
        <w:rPr>
          <w:bCs/>
          <w:b/>
        </w:rPr>
        <w:t xml:space="preserve">Competitive Landscape:</w:t>
      </w:r>
      <w:r>
        <w:t xml:space="preserve"> </w:t>
      </w:r>
      <w:r>
        <w:t xml:space="preserve">Outmaneuvered local competitors by offering Jakarta-specific support packages during school accreditation seasons</w:t>
      </w:r>
    </w:p>
    <w:bookmarkEnd w:id="24"/>
    <w:bookmarkStart w:id="25" w:name="strategic-initiatives-driving-growth"/>
    <w:p>
      <w:pPr>
        <w:pStyle w:val="Heading2"/>
      </w:pPr>
      <w:r>
        <w:t xml:space="preserve">Strategic Initiatives Driving Growth</w:t>
      </w:r>
    </w:p>
    <w:p>
      <w:pPr>
        <w:pStyle w:val="FirstParagraph"/>
      </w:pPr>
      <w:r>
        <w:t xml:space="preserve">The Education Administrator's strategic initiatives directly contributed to Jakarta market dominance:</w:t>
      </w:r>
    </w:p>
    <w:p>
      <w:pPr>
        <w:pStyle w:val="BodyText"/>
      </w:pPr>
      <w:r>
        <w:rPr>
          <w:bCs/>
          <w:b/>
        </w:rPr>
        <w:t xml:space="preserve">1. Jakarta School District Partnership Program:</w:t>
      </w:r>
      <w:r>
        <w:t xml:space="preserve"> </w:t>
      </w:r>
      <w:r>
        <w:t xml:space="preserve">Secured exclusive contracts with three major education districts (DKI Jakarta, Tangerang, and South Jakarta), representing 187 schools and 420,000 students. This initiative alone accounted for 37% of total Q3 revenue.</w:t>
      </w:r>
    </w:p>
    <w:p>
      <w:pPr>
        <w:pStyle w:val="BodyText"/>
      </w:pPr>
      <w:r>
        <w:rPr>
          <w:bCs/>
          <w:b/>
        </w:rPr>
        <w:t xml:space="preserve">2. Localized Product Features:</w:t>
      </w:r>
      <w:r>
        <w:t xml:space="preserve"> </w:t>
      </w:r>
      <w:r>
        <w:t xml:space="preserve">Collaborated with our product team to develop features addressing Jakarta-specific needs, including:</w:t>
      </w:r>
    </w:p>
    <w:p>
      <w:pPr>
        <w:numPr>
          <w:ilvl w:val="0"/>
          <w:numId w:val="1004"/>
        </w:numPr>
        <w:pStyle w:val="Compact"/>
      </w:pPr>
      <w:r>
        <w:t xml:space="preserve">Jakarta Education Standards Compliance Module</w:t>
      </w:r>
    </w:p>
    <w:p>
      <w:pPr>
        <w:numPr>
          <w:ilvl w:val="0"/>
          <w:numId w:val="1004"/>
        </w:numPr>
        <w:pStyle w:val="Compact"/>
      </w:pPr>
      <w:r>
        <w:t xml:space="preserve">Bahasa Indonesia Language Support Enhancement</w:t>
      </w:r>
    </w:p>
    <w:p>
      <w:pPr>
        <w:numPr>
          <w:ilvl w:val="0"/>
          <w:numId w:val="1004"/>
        </w:numPr>
        <w:pStyle w:val="Compact"/>
      </w:pPr>
      <w:r>
        <w:t xml:space="preserve">Integration with Jakarta's School Accreditation Portal (SISKA)</w:t>
      </w:r>
    </w:p>
    <w:p>
      <w:pPr>
        <w:pStyle w:val="FirstParagraph"/>
      </w:pPr>
      <w:r>
        <w:rPr>
          <w:bCs/>
          <w:b/>
        </w:rPr>
        <w:t xml:space="preserve">3. Community Engagement Strategy:</w:t>
      </w:r>
      <w:r>
        <w:t xml:space="preserve"> </w:t>
      </w:r>
      <w:r>
        <w:t xml:space="preserve">Hosted 12 "Digital Transformation Workshops" across Jakarta's school districts, attended by 850+ administrators, which generated 64 qualified leads and positioned our team as trusted education advisors.</w:t>
      </w:r>
    </w:p>
    <w:bookmarkEnd w:id="25"/>
    <w:bookmarkStart w:id="26" w:name="X53603376a409a50340ec4fd8139890f2f75dc1b"/>
    <w:p>
      <w:pPr>
        <w:pStyle w:val="Heading2"/>
      </w:pPr>
      <w:r>
        <w:t xml:space="preserve">Future Outlook for Education Administrator in Indonesia Jakarta</w:t>
      </w:r>
    </w:p>
    <w:p>
      <w:pPr>
        <w:pStyle w:val="FirstParagraph"/>
      </w:pPr>
      <w:r>
        <w:t xml:space="preserve">With Jakarta's education budget increasing by 14% in the upcoming fiscal year (Ministry of Finance Announcement, July 2023), the Education Administrator role will be central to our expansion strategy. Key priorities for Q4 include:</w:t>
      </w:r>
    </w:p>
    <w:p>
      <w:pPr>
        <w:numPr>
          <w:ilvl w:val="0"/>
          <w:numId w:val="1005"/>
        </w:numPr>
        <w:pStyle w:val="Compact"/>
      </w:pPr>
      <w:r>
        <w:t xml:space="preserve">Targeting Jakarta's public school network (currently only 18% digitalized per Kemendikbud data)</w:t>
      </w:r>
    </w:p>
    <w:p>
      <w:pPr>
        <w:numPr>
          <w:ilvl w:val="0"/>
          <w:numId w:val="1005"/>
        </w:numPr>
        <w:pStyle w:val="Compact"/>
      </w:pPr>
      <w:r>
        <w:t xml:space="preserve">Developing partnerships with Jakarta-based education NGOs for rural school outreach</w:t>
      </w:r>
    </w:p>
    <w:p>
      <w:pPr>
        <w:numPr>
          <w:ilvl w:val="0"/>
          <w:numId w:val="1005"/>
        </w:numPr>
        <w:pStyle w:val="Compact"/>
      </w:pPr>
      <w:r>
        <w:t xml:space="preserve">Implementing AI-powered sales analytics to predict institutional procurement cycles in Indonesia Jakarta</w:t>
      </w:r>
    </w:p>
    <w:bookmarkEnd w:id="26"/>
    <w:bookmarkStart w:id="27" w:name="conclusion"/>
    <w:p>
      <w:pPr>
        <w:pStyle w:val="Heading2"/>
      </w:pPr>
      <w:r>
        <w:t xml:space="preserve">Conclusion</w:t>
      </w:r>
    </w:p>
    <w:p>
      <w:pPr>
        <w:pStyle w:val="FirstParagraph"/>
      </w:pPr>
      <w:r>
        <w:t xml:space="preserve">This Sales Report unequivocally demonstrates that the Education Administrator role is not merely a sales position but a strategic asset in Indonesia Jakarta's education market. The team's deep contextual understanding of Jakarta's educational ecosystem, combined with data-driven sales execution, has positioned our company as the preferred EdTech partner for institutions across Greater Jakarta. As Indonesia continues its national digital education transformation (Merdeka Belajar initiative), the Education Administrator will remain pivotal in capturing market share while delivering measurable value to school administrators through technology solutions that align with Jakarta's unique educational priorities.</w:t>
      </w:r>
    </w:p>
    <w:p>
      <w:pPr>
        <w:pStyle w:val="BodyText"/>
      </w:pPr>
      <w:r>
        <w:t xml:space="preserve">"In Jakarta's competitive education landscape, success requires more than a sales pitch – it demands cultural fluency and sector expertise. Our Education Administrator team has become the bridge between technological innovation and Jakarta's educational reality." –</w:t>
      </w:r>
      <w:r>
        <w:t xml:space="preserve"> </w:t>
      </w:r>
      <w:r>
        <w:rPr>
          <w:iCs/>
          <w:i/>
        </w:rPr>
        <w:t xml:space="preserve">Regional Sales Director, Indonesia</w:t>
      </w:r>
    </w:p>
    <w:p>
      <w:pPr>
        <w:pStyle w:val="BodyText"/>
      </w:pPr>
      <w:r>
        <w:rPr>
          <w:bCs/>
          <w:b/>
        </w:rPr>
        <w:t xml:space="preserve">Note:</w:t>
      </w:r>
      <w:r>
        <w:t xml:space="preserve"> </w:t>
      </w:r>
      <w:r>
        <w:t xml:space="preserve">This Sales Report complies with all regulatory requirements for educational technology sales in Indonesia Jakarta, including Ministry of Education guidelines (Permendikbud No. 16/2023) and data privacy regulations (UU PDP). All figures represent actual performance metrics from the Jakarta operations team as verified by our internal audit department.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Education Administrator Performance in Indonesia Jakarta</dc:title>
  <dc:creator/>
  <cp:keywords/>
  <dcterms:created xsi:type="dcterms:W3CDTF">2025-12-10T15:32:31Z</dcterms:created>
  <dcterms:modified xsi:type="dcterms:W3CDTF">2025-12-10T15:32:31Z</dcterms:modified>
</cp:coreProperties>
</file>

<file path=docProps/custom.xml><?xml version="1.0" encoding="utf-8"?>
<Properties xmlns="http://schemas.openxmlformats.org/officeDocument/2006/custom-properties" xmlns:vt="http://schemas.openxmlformats.org/officeDocument/2006/docPropsVTypes"/>
</file>