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Iran</w:t>
      </w:r>
      <w:r>
        <w:t xml:space="preserve"> </w:t>
      </w:r>
      <w:r>
        <w:t xml:space="preserve">Tehran</w:t>
      </w:r>
      <w:r>
        <w:t xml:space="preserve"> </w:t>
      </w:r>
      <w:r>
        <w:t xml:space="preserve">Market</w:t>
      </w:r>
      <w:r>
        <w:t xml:space="preserve"> </w:t>
      </w:r>
      <w:r>
        <w:t xml:space="preserve">Analysis</w:t>
      </w:r>
    </w:p>
    <w:bookmarkStart w:id="27" w:name="X2d8ce8e523af049e4c50bed179c04316623265f"/>
    <w:p>
      <w:pPr>
        <w:pStyle w:val="Heading1"/>
      </w:pPr>
      <w:r>
        <w:t xml:space="preserve">SALES REPORT: EDUCATION ADMINISTRATOR MARKET ANALYSIS FOR IRAN TEHRAN</w:t>
      </w:r>
    </w:p>
    <w:p>
      <w:pPr>
        <w:pStyle w:val="FirstParagraph"/>
      </w:pPr>
      <w:r>
        <w:t xml:space="preserve">Prepared for Executive Leadership | Q3 2023 | Confidential</w:t>
      </w:r>
    </w:p>
    <w:bookmarkStart w:id="20" w:name="executive-summary"/>
    <w:p>
      <w:pPr>
        <w:pStyle w:val="Heading2"/>
      </w:pPr>
      <w:r>
        <w:t xml:space="preserve">Executive Summary</w:t>
      </w:r>
    </w:p>
    <w:p>
      <w:pPr>
        <w:pStyle w:val="FirstParagraph"/>
      </w:pPr>
      <w:r>
        <w:t xml:space="preserve">This comprehensive Sales Report details the critical market dynamics for Education Administrator roles within Iran Tehran's evolving educational landscape. As Tehran emerges as Iran's primary hub for academic innovation, demand for skilled Education Administrators has surged by 37% year-over-year, directly driving sales opportunities in educational technology and professional services. Our strategic focus on this sector generated $1.8M in Q3 revenue, representing 62% of total regional sales growth. This document analyzes market drivers, competitive positioning, and actionable recommendations to capitalize on Tehran's unique educational ecosystem.</w:t>
      </w:r>
    </w:p>
    <w:bookmarkEnd w:id="20"/>
    <w:bookmarkStart w:id="21" w:name="X8786e18530ad7837617aaf565922db5ada48b0a"/>
    <w:p>
      <w:pPr>
        <w:pStyle w:val="Heading2"/>
      </w:pPr>
      <w:r>
        <w:t xml:space="preserve">Market Context: Education Administrator Demand in Iran Tehran</w:t>
      </w:r>
    </w:p>
    <w:p>
      <w:pPr>
        <w:pStyle w:val="FirstParagraph"/>
      </w:pPr>
      <w:r>
        <w:t xml:space="preserve">Tehran's educational sector—home to 68% of Iran's higher education institutions and 127 public universities—faces unprecedented transformation. The Ministry of Education's recent "Digital Transformation Plan" has elevated the role of the</w:t>
      </w:r>
      <w:r>
        <w:t xml:space="preserve"> </w:t>
      </w:r>
      <w:r>
        <w:rPr>
          <w:iCs/>
          <w:i/>
        </w:rPr>
        <w:t xml:space="preserve">Education Administrator</w:t>
      </w:r>
      <w:r>
        <w:t xml:space="preserve"> </w:t>
      </w:r>
      <w:r>
        <w:t xml:space="preserve">from operational support to strategic leadership, requiring expertise in curriculum management, budget optimization, and compliance with new national standards. This shift has created a $45M annual market for specialized administrative solutions in Tehran alone.</w:t>
      </w:r>
    </w:p>
    <w:p>
      <w:pPr>
        <w:pStyle w:val="BodyText"/>
      </w:pPr>
      <w:r>
        <w:t xml:space="preserve">Our Q3 field surveys confirm that 89% of Tehran-based institutions now require Education Administrators certified in modern educational management systems—a figure up from 52% in 2020. The demand is particularly acute in private sector schools and international campuses (e.g., Tehran International School, Khatam Al-Nabi High School), where parent expectations drive administrative innovation. Notably, Tehran's population growth (16M residents) has intensified competition for quality education services, making the Education Administrator role pivotal to institutional reputation and enrollment rates.</w:t>
      </w:r>
    </w:p>
    <w:bookmarkEnd w:id="21"/>
    <w:bookmarkStart w:id="22" w:name="Xb96c0a9d7320e1e8d50e6d6a84bdf5f5c89feba"/>
    <w:p>
      <w:pPr>
        <w:pStyle w:val="Heading2"/>
      </w:pPr>
      <w:r>
        <w:t xml:space="preserve">Sales Performance Analysis: Tehran's Education Sector</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w:t>
            </w:r>
          </w:p>
        </w:tc>
        <w:tc>
          <w:tcPr/>
          <w:p>
            <w:pPr>
              <w:pStyle w:val="Compact"/>
              <w:jc w:val="left"/>
            </w:pPr>
            <w:r>
              <w:t xml:space="preserve">Tehran Sales (Q3)</w:t>
            </w:r>
          </w:p>
        </w:tc>
        <w:tc>
          <w:tcPr/>
          <w:p>
            <w:pPr>
              <w:pStyle w:val="Compact"/>
              <w:jc w:val="left"/>
            </w:pPr>
            <w:r>
              <w:t xml:space="preserve">YoY Change</w:t>
            </w:r>
          </w:p>
        </w:tc>
        <w:tc>
          <w:tcPr/>
          <w:p>
            <w:pPr>
              <w:pStyle w:val="Compact"/>
              <w:jc w:val="left"/>
            </w:pPr>
            <w:r>
              <w:t xml:space="preserve">Market Share</w:t>
            </w:r>
          </w:p>
        </w:tc>
      </w:tr>
      <w:tr>
        <w:tc>
          <w:tcPr/>
          <w:p>
            <w:pPr>
              <w:pStyle w:val="Compact"/>
              <w:jc w:val="left"/>
            </w:pPr>
            <w:r>
              <w:t xml:space="preserve">Administrative Workflow Software Suite</w:t>
            </w:r>
          </w:p>
        </w:tc>
        <w:tc>
          <w:tcPr/>
          <w:p>
            <w:pPr>
              <w:pStyle w:val="Compact"/>
              <w:jc w:val="left"/>
            </w:pPr>
            <w:r>
              <w:t xml:space="preserve">$752,000</w:t>
            </w:r>
          </w:p>
        </w:tc>
        <w:tc>
          <w:tcPr/>
          <w:p>
            <w:pPr>
              <w:pStyle w:val="Compact"/>
              <w:jc w:val="left"/>
            </w:pPr>
            <w:r>
              <w:t xml:space="preserve">+41%</w:t>
            </w:r>
          </w:p>
        </w:tc>
        <w:tc>
          <w:tcPr/>
          <w:p>
            <w:pPr>
              <w:pStyle w:val="Compact"/>
              <w:jc w:val="left"/>
            </w:pPr>
            <w:r>
              <w:t xml:space="preserve">38% (up from 29%)</w:t>
            </w:r>
          </w:p>
        </w:tc>
      </w:tr>
      <w:tr>
        <w:tc>
          <w:tcPr/>
          <w:p>
            <w:pPr>
              <w:pStyle w:val="Compact"/>
              <w:jc w:val="left"/>
            </w:pPr>
            <w:r>
              <w:t xml:space="preserve">Professional Development for Education Administrators</w:t>
            </w:r>
          </w:p>
        </w:tc>
        <w:tc>
          <w:tcPr/>
          <w:p>
            <w:pPr>
              <w:pStyle w:val="Compact"/>
              <w:jc w:val="left"/>
            </w:pPr>
            <w:r>
              <w:t xml:space="preserve">$518,000</w:t>
            </w:r>
          </w:p>
        </w:tc>
        <w:tc>
          <w:tcPr/>
          <w:p>
            <w:pPr>
              <w:pStyle w:val="Compact"/>
              <w:jc w:val="left"/>
            </w:pPr>
            <w:r>
              <w:t xml:space="preserve">+27%</w:t>
            </w:r>
          </w:p>
        </w:tc>
        <w:tc>
          <w:tcPr/>
          <w:p>
            <w:pPr>
              <w:pStyle w:val="Compact"/>
              <w:jc w:val="left"/>
            </w:pPr>
            <w:r>
              <w:t xml:space="preserve">31% (up from 24%)</w:t>
            </w:r>
          </w:p>
        </w:tc>
      </w:tr>
      <w:tr>
        <w:tc>
          <w:tcPr/>
          <w:p>
            <w:pPr>
              <w:pStyle w:val="Compact"/>
              <w:jc w:val="left"/>
            </w:pPr>
            <w:r>
              <w:t xml:space="preserve">Compliance Management System</w:t>
            </w:r>
          </w:p>
        </w:tc>
        <w:tc>
          <w:tcPr/>
          <w:p>
            <w:pPr>
              <w:pStyle w:val="Compact"/>
              <w:jc w:val="left"/>
            </w:pPr>
            <w:r>
              <w:t xml:space="preserve">$365,000</w:t>
            </w:r>
          </w:p>
        </w:tc>
        <w:tc>
          <w:tcPr/>
          <w:p>
            <w:pPr>
              <w:pStyle w:val="Compact"/>
              <w:jc w:val="left"/>
            </w:pPr>
            <w:r>
              <w:t xml:space="preserve">+58%</w:t>
            </w:r>
          </w:p>
        </w:tc>
        <w:tc>
          <w:tcPr/>
          <w:p>
            <w:pPr>
              <w:pStyle w:val="Compact"/>
              <w:jc w:val="left"/>
            </w:pPr>
            <w:r>
              <w:t xml:space="preserve">47% (up from 32%)</w:t>
            </w:r>
          </w:p>
        </w:tc>
      </w:tr>
      <w:tr>
        <w:tc>
          <w:tcPr/>
          <w:p>
            <w:pPr>
              <w:pStyle w:val="Compact"/>
              <w:jc w:val="left"/>
            </w:pPr>
            <w:r>
              <w:rPr>
                <w:bCs/>
                <w:b/>
              </w:rPr>
              <w:t xml:space="preserve">Total Tehran Sales</w:t>
            </w:r>
          </w:p>
        </w:tc>
        <w:tc>
          <w:tcPr/>
          <w:p>
            <w:pPr>
              <w:pStyle w:val="Compact"/>
              <w:jc w:val="left"/>
            </w:pPr>
            <w:r>
              <w:rPr>
                <w:bCs/>
                <w:b/>
              </w:rPr>
              <w:t xml:space="preserve">$1,635,000</w:t>
            </w:r>
          </w:p>
        </w:tc>
        <w:tc>
          <w:tcPr/>
          <w:p>
            <w:pPr>
              <w:pStyle w:val="Compact"/>
              <w:jc w:val="left"/>
            </w:pPr>
            <w:r>
              <w:rPr>
                <w:bCs/>
                <w:b/>
              </w:rPr>
              <w:t xml:space="preserve">+43%</w:t>
            </w:r>
          </w:p>
        </w:tc>
        <w:tc>
          <w:tcPr/>
          <w:p>
            <w:pPr>
              <w:pStyle w:val="Compact"/>
              <w:jc w:val="left"/>
            </w:pPr>
            <w:r>
              <w:rPr>
                <w:bCs/>
                <w:b/>
              </w:rPr>
              <w:t xml:space="preserve">62% of Regional Total</w:t>
            </w:r>
          </w:p>
        </w:tc>
      </w:tr>
    </w:tbl>
    <w:p>
      <w:pPr>
        <w:pStyle w:val="BodyText"/>
      </w:pPr>
      <w:r>
        <w:t xml:space="preserve">Key sales drivers in Iran Tehran include: (1) Mandatory Ministry reforms requiring new administrative software, (2) Increased private investment in schools (e.g., $300M from Tehran-based education funds), and (3) Critical shortage of certified Education Administrators—only 47% of vacancies are filled within 90 days. Our sales team achieved a 76% close rate with Tehran institutions, significantly outperforming the national average of 58%, due to culturally tailored solutions addressing Iran's unique educational governance structure.</w:t>
      </w:r>
    </w:p>
    <w:bookmarkEnd w:id="22"/>
    <w:bookmarkStart w:id="23" w:name="competitive-landscape-in-tehran"/>
    <w:p>
      <w:pPr>
        <w:pStyle w:val="Heading2"/>
      </w:pPr>
      <w:r>
        <w:t xml:space="preserve">Competitive Landscape in Tehran</w:t>
      </w:r>
    </w:p>
    <w:p>
      <w:pPr>
        <w:pStyle w:val="FirstParagraph"/>
      </w:pPr>
      <w:r>
        <w:t xml:space="preserve">While international competitors (e.g., Blackboard, Pearson) dominate global education tech, they fail to address Tehran-specific requirements. Our localized approach—embedding Persian-language compliance modules and aligning with Iran's Ministry of Education's "Education 2030" framework—creates a decisive advantage. For instance:</w:t>
      </w:r>
    </w:p>
    <w:p>
      <w:pPr>
        <w:numPr>
          <w:ilvl w:val="0"/>
          <w:numId w:val="1001"/>
        </w:numPr>
        <w:pStyle w:val="Compact"/>
      </w:pPr>
      <w:r>
        <w:rPr>
          <w:bCs/>
          <w:b/>
        </w:rPr>
        <w:t xml:space="preserve">Competitor Gap:</w:t>
      </w:r>
      <w:r>
        <w:t xml:space="preserve"> </w:t>
      </w:r>
      <w:r>
        <w:t xml:space="preserve">Foreign vendors lack understanding of Tehran's decentralized school funding model (where municipalities provide 65% of operational budgets)</w:t>
      </w:r>
    </w:p>
    <w:p>
      <w:pPr>
        <w:numPr>
          <w:ilvl w:val="0"/>
          <w:numId w:val="1001"/>
        </w:numPr>
        <w:pStyle w:val="Compact"/>
      </w:pPr>
      <w:r>
        <w:rPr>
          <w:bCs/>
          <w:b/>
        </w:rPr>
        <w:t xml:space="preserve">Our Differentiator:</w:t>
      </w:r>
      <w:r>
        <w:t xml:space="preserve"> </w:t>
      </w:r>
      <w:r>
        <w:t xml:space="preserve">Our Education Administrator onboarding program includes mandatory training on Tehran municipality budget cycles, directly increasing client retention by 31%</w:t>
      </w:r>
    </w:p>
    <w:p>
      <w:pPr>
        <w:numPr>
          <w:ilvl w:val="0"/>
          <w:numId w:val="1001"/>
        </w:numPr>
        <w:pStyle w:val="Compact"/>
      </w:pPr>
      <w:r>
        <w:rPr>
          <w:bCs/>
          <w:b/>
        </w:rPr>
        <w:t xml:space="preserve">Market Insight:</w:t>
      </w:r>
      <w:r>
        <w:t xml:space="preserve"> </w:t>
      </w:r>
      <w:r>
        <w:t xml:space="preserve">78% of Tehran schools reject foreign solutions due to "cultural misalignment" (per our Q3 client interviews)</w:t>
      </w:r>
    </w:p>
    <w:bookmarkEnd w:id="23"/>
    <w:bookmarkStart w:id="24" w:name="X8f1396b988fe42b1c12de2d1ad129584dbd6501"/>
    <w:p>
      <w:pPr>
        <w:pStyle w:val="Heading2"/>
      </w:pPr>
      <w:r>
        <w:t xml:space="preserve">Critical Challenges in Iran Tehran's Education Market</w:t>
      </w:r>
    </w:p>
    <w:p>
      <w:pPr>
        <w:pStyle w:val="FirstParagraph"/>
      </w:pPr>
      <w:r>
        <w:t xml:space="preserve">Despite strong growth, three challenges require strategic intervention:</w:t>
      </w:r>
    </w:p>
    <w:p>
      <w:pPr>
        <w:numPr>
          <w:ilvl w:val="0"/>
          <w:numId w:val="1002"/>
        </w:numPr>
        <w:pStyle w:val="Compact"/>
      </w:pPr>
      <w:r>
        <w:rPr>
          <w:bCs/>
          <w:b/>
        </w:rPr>
        <w:t xml:space="preserve">Regulatory Uncertainty:</w:t>
      </w:r>
      <w:r>
        <w:t xml:space="preserve"> </w:t>
      </w:r>
      <w:r>
        <w:t xml:space="preserve">Frequent Ministry policy shifts create hesitation among Tehran institutions. We mitigated this by establishing a dedicated Tehran Regulatory Advisory Team (12% of sales team), reducing client churn by 24%.</w:t>
      </w:r>
    </w:p>
    <w:p>
      <w:pPr>
        <w:numPr>
          <w:ilvl w:val="0"/>
          <w:numId w:val="1002"/>
        </w:numPr>
        <w:pStyle w:val="Compact"/>
      </w:pPr>
      <w:r>
        <w:rPr>
          <w:bCs/>
          <w:b/>
        </w:rPr>
        <w:t xml:space="preserve">Talent Shortage:</w:t>
      </w:r>
      <w:r>
        <w:t xml:space="preserve"> </w:t>
      </w:r>
      <w:r>
        <w:t xml:space="preserve">Only 87 certified Education Administrators exist in all of Tehran—versus 312 vacancies. Our partnership with Sharif University to create a certified training pathway has secured contracts with 14 major schools.</w:t>
      </w:r>
    </w:p>
    <w:p>
      <w:pPr>
        <w:numPr>
          <w:ilvl w:val="0"/>
          <w:numId w:val="1002"/>
        </w:numPr>
        <w:pStyle w:val="Compact"/>
      </w:pPr>
      <w:r>
        <w:rPr>
          <w:bCs/>
          <w:b/>
        </w:rPr>
        <w:t xml:space="preserve">Currency Volatility:</w:t>
      </w:r>
      <w:r>
        <w:t xml:space="preserve"> </w:t>
      </w:r>
      <w:r>
        <w:t xml:space="preserve">Toman depreciation increased our local procurement costs by 22%. We addressed this by converting 73% of Tehran contracts to USD-denominated services, protecting profit margins.</w:t>
      </w:r>
    </w:p>
    <w:bookmarkEnd w:id="24"/>
    <w:bookmarkStart w:id="25" w:name="X349a0a3e853110106b5f9eb1b89b2fad3256267"/>
    <w:p>
      <w:pPr>
        <w:pStyle w:val="Heading2"/>
      </w:pPr>
      <w:r>
        <w:t xml:space="preserve">Strategic Recommendations for Iran Tehran Expansion</w:t>
      </w:r>
    </w:p>
    <w:p>
      <w:pPr>
        <w:pStyle w:val="FirstParagraph"/>
      </w:pPr>
      <w:r>
        <w:t xml:space="preserve">To leverage Tehran's $1.8B education administration market (projected 22% CAGR through 2025), we recommend:</w:t>
      </w:r>
    </w:p>
    <w:p>
      <w:pPr>
        <w:numPr>
          <w:ilvl w:val="0"/>
          <w:numId w:val="1003"/>
        </w:numPr>
        <w:pStyle w:val="Compact"/>
      </w:pPr>
      <w:r>
        <w:rPr>
          <w:bCs/>
          <w:b/>
        </w:rPr>
        <w:t xml:space="preserve">Launch "Tehran Education Administrator Certification":</w:t>
      </w:r>
      <w:r>
        <w:t xml:space="preserve"> </w:t>
      </w:r>
      <w:r>
        <w:t xml:space="preserve">Partner with Tehran University of Technology to develop a Ministry-recognized credential, creating a $650K recurring revenue stream from training fees.</w:t>
      </w:r>
    </w:p>
    <w:p>
      <w:pPr>
        <w:numPr>
          <w:ilvl w:val="0"/>
          <w:numId w:val="1003"/>
        </w:numPr>
        <w:pStyle w:val="Compact"/>
      </w:pPr>
      <w:r>
        <w:rPr>
          <w:bCs/>
          <w:b/>
        </w:rPr>
        <w:t xml:space="preserve">Deploy Mobile-First Solutions:</w:t>
      </w:r>
      <w:r>
        <w:t xml:space="preserve"> </w:t>
      </w:r>
      <w:r>
        <w:t xml:space="preserve">92% of Tehran Education Administrators use smartphones for daily tasks. Optimize our software for low-bandwidth Iranian networks (priority: Tehran's northern districts with limited fiber access).</w:t>
      </w:r>
    </w:p>
    <w:p>
      <w:pPr>
        <w:numPr>
          <w:ilvl w:val="0"/>
          <w:numId w:val="1003"/>
        </w:numPr>
        <w:pStyle w:val="Compact"/>
      </w:pPr>
      <w:r>
        <w:rPr>
          <w:bCs/>
          <w:b/>
        </w:rPr>
        <w:t xml:space="preserve">Target Municipal Schools:</w:t>
      </w:r>
      <w:r>
        <w:t xml:space="preserve"> </w:t>
      </w:r>
      <w:r>
        <w:t xml:space="preserve">68% of Tehran schools are municipally operated—currently underserved by vendors. Develop a tiered pricing model specifically for municipal budget cycles.</w:t>
      </w:r>
    </w:p>
    <w:p>
      <w:pPr>
        <w:numPr>
          <w:ilvl w:val="0"/>
          <w:numId w:val="1003"/>
        </w:numPr>
        <w:pStyle w:val="Compact"/>
      </w:pPr>
      <w:r>
        <w:rPr>
          <w:bCs/>
          <w:b/>
        </w:rPr>
        <w:t xml:space="preserve">Establish Tehran Innovation Hub:</w:t>
      </w:r>
      <w:r>
        <w:t xml:space="preserve"> </w:t>
      </w:r>
      <w:r>
        <w:t xml:space="preserve">Co-locate with Sharif University to embed our sales team within education leadership programs, increasing referral rates by 40% (as seen in pilot with Azad University).</w:t>
      </w:r>
    </w:p>
    <w:bookmarkEnd w:id="25"/>
    <w:bookmarkStart w:id="26" w:name="conclusion"/>
    <w:p>
      <w:pPr>
        <w:pStyle w:val="Heading2"/>
      </w:pPr>
      <w:r>
        <w:t xml:space="preserve">Conclusion</w:t>
      </w:r>
    </w:p>
    <w:p>
      <w:pPr>
        <w:pStyle w:val="FirstParagraph"/>
      </w:pPr>
      <w:r>
        <w:t xml:space="preserve">The Iran Tehran market represents the most strategically vital opportunity for our Education Administrator sales initiatives. With its unparalleled concentration of educational institutions, government-led reforms, and urgent demand for certified administrators, Tehran drives over half of our regional growth. This Sales Report confirms that culturally intelligent solutions—deeply integrated with Tehran's administrative frameworks—outperform generic global products by 57%. As the Ministry of Education accelerates digital transformation, the Education Administrator role will become even more central to institutional success.</w:t>
      </w:r>
    </w:p>
    <w:p>
      <w:pPr>
        <w:pStyle w:val="BodyText"/>
      </w:pPr>
      <w:r>
        <w:t xml:space="preserve">Our Q4 strategy will prioritize capturing 40% of Tehran's emerging administration software market through hyper-localized sales tactics. By embedding ourselves in Tehran's educational governance ecosystem—not just selling technology but becoming strategic partners for Education Administrators—we project $2.3M in Q4 revenue from Iran Tehran alone. This represents the single largest growth vector for our global education division and validates our core thesis: In Iran's capital city, where education is synonymous with national progress, the right Education Administrator solution is not just valuable—it's essential to market leadership.</w:t>
      </w:r>
    </w:p>
    <w:p>
      <w:pPr>
        <w:pStyle w:val="BodyText"/>
      </w:pPr>
      <w:r>
        <w:rPr>
          <w:bCs/>
          <w:b/>
        </w:rPr>
        <w:t xml:space="preserve">Report Prepared By:</w:t>
      </w:r>
      <w:r>
        <w:t xml:space="preserve"> </w:t>
      </w:r>
      <w:r>
        <w:t xml:space="preserve">Global Education Sales Intelligence Unit</w:t>
      </w:r>
      <w:r>
        <w:br/>
      </w:r>
      <w:r>
        <w:rPr>
          <w:bCs/>
          <w:b/>
        </w:rPr>
        <w:t xml:space="preserve">Date:</w:t>
      </w:r>
      <w:r>
        <w:t xml:space="preserve"> </w:t>
      </w:r>
      <w:r>
        <w:t xml:space="preserve">October 26, 2023</w:t>
      </w:r>
      <w:r>
        <w:br/>
      </w:r>
      <w:r>
        <w:rPr>
          <w:bCs/>
          <w:b/>
        </w:rPr>
        <w:t xml:space="preserve">Coverage Area:</w:t>
      </w:r>
      <w:r>
        <w:t xml:space="preserve"> </w:t>
      </w:r>
      <w:r>
        <w:t xml:space="preserve">Tehran, Iran (All districts including Shemiranat, Rey, and Central Tehran)</w:t>
      </w:r>
    </w:p>
    <w:p>
      <w:pPr>
        <w:pStyle w:val="BodyText"/>
      </w:pPr>
      <w:r>
        <w:t xml:space="preserve">This Sales Report is proprietary to Global Education Solutions. Distribution restricted to authorized personnel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Iran Tehran Market Analysis</dc:title>
  <dc:creator/>
  <dc:language>en</dc:language>
  <cp:keywords/>
  <dcterms:created xsi:type="dcterms:W3CDTF">2025-12-10T13:13:06Z</dcterms:created>
  <dcterms:modified xsi:type="dcterms:W3CDTF">2025-12-10T13:13:06Z</dcterms:modified>
</cp:coreProperties>
</file>

<file path=docProps/custom.xml><?xml version="1.0" encoding="utf-8"?>
<Properties xmlns="http://schemas.openxmlformats.org/officeDocument/2006/custom-properties" xmlns:vt="http://schemas.openxmlformats.org/officeDocument/2006/docPropsVTypes"/>
</file>