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Performance</w:t>
      </w:r>
      <w:r>
        <w:t xml:space="preserve"> </w:t>
      </w:r>
      <w:r>
        <w:t xml:space="preserve">-</w:t>
      </w:r>
      <w:r>
        <w:t xml:space="preserve"> </w:t>
      </w:r>
      <w:r>
        <w:t xml:space="preserve">Israel</w:t>
      </w:r>
      <w:r>
        <w:t xml:space="preserve"> </w:t>
      </w:r>
      <w:r>
        <w:t xml:space="preserve">Jerusalem</w:t>
      </w:r>
    </w:p>
    <w:bookmarkStart w:id="27" w:name="Xa6329640d487b3bb46581fd09be8abc79ca05ca"/>
    <w:p>
      <w:pPr>
        <w:pStyle w:val="Heading1"/>
      </w:pPr>
      <w:r>
        <w:t xml:space="preserve">SALES REPORT: EDUCATION ADMINISTRATOR PERFORMANCE IN ISRAEL JERUSALEM</w:t>
      </w:r>
    </w:p>
    <w:p>
      <w:pPr>
        <w:pStyle w:val="FirstParagraph"/>
      </w:pPr>
      <w:r>
        <w:t xml:space="preserve">Quarterly Performance Analysis | Q3 2023 | Confidential</w:t>
      </w:r>
    </w:p>
    <w:bookmarkStart w:id="20" w:name="executive-summary"/>
    <w:p>
      <w:pPr>
        <w:pStyle w:val="Heading2"/>
      </w:pPr>
      <w:r>
        <w:t xml:space="preserve">Executive Summary</w:t>
      </w:r>
    </w:p>
    <w:p>
      <w:pPr>
        <w:pStyle w:val="FirstParagraph"/>
      </w:pPr>
      <w:r>
        <w:t xml:space="preserve">This comprehensive Sales Report details the performance of our Education Administrator within the vibrant educational landscape of Israel Jerusalem. Covering a critical quarter in our regional expansion, this document validates how strategic leadership in educational administration directly drives sales growth and institutional impact. The Education Administrator role has been instrumental in navigating Jerusalem's unique cultural, religious, and academic environment while exceeding sales targets by 17% against Q2 benchmarks. This report underscores that effective education administration is not merely operational—it's a powerful revenue engine for educational institutions across Israel Jerusalem.</w:t>
      </w:r>
    </w:p>
    <w:bookmarkEnd w:id="20"/>
    <w:bookmarkStart w:id="21" w:name="Xfd66e033129f573689b8e54bac81546e6dfc518"/>
    <w:p>
      <w:pPr>
        <w:pStyle w:val="Heading2"/>
      </w:pPr>
      <w:r>
        <w:t xml:space="preserve">I. Strategic Context: Education Administrator in Israel Jerusalem</w:t>
      </w:r>
    </w:p>
    <w:p>
      <w:pPr>
        <w:pStyle w:val="FirstParagraph"/>
      </w:pPr>
      <w:r>
        <w:t xml:space="preserve">Jerusalem represents a unique educational ecosystem where global standards intersect with deep-rooted cultural traditions. As the Education Administrator for our regional operations, [Name] has managed sales initiatives across 47 schools and institutions—from elite private academies to government-funded religious schools—within Israel Jerusalem's municipal boundaries. This role requires nuanced understanding of Israeli education regulations (including the Ministry of Education framework), sensitivity to Jerusalem's complex socio-religious dynamics, and expertise in selling educational technology solutions that align with both secular curricula and faith-based learning models.</w:t>
      </w:r>
    </w:p>
    <w:p>
      <w:pPr>
        <w:pStyle w:val="BodyText"/>
      </w:pPr>
      <w:r>
        <w:t xml:space="preserve">Unlike generic sales roles, the Education Administrator position demands dual expertise: mastery of sales cycles combined with educational leadership. In Israel Jerusalem, this means understanding how to navigate the National Curriculum (Mitzvah curriculum for religious schools), Hebrew language requirements, and the city's distinct school funding mechanisms. Our Sales Report confirms that administrators who possess both sales acumen and deep education sector knowledge achieve 34% higher client retention rates in Jerusalem markets.</w:t>
      </w:r>
    </w:p>
    <w:bookmarkEnd w:id="21"/>
    <w:bookmarkStart w:id="22" w:name="ii.-key-performance-indicators-q3-2023"/>
    <w:p>
      <w:pPr>
        <w:pStyle w:val="Heading2"/>
      </w:pPr>
      <w:r>
        <w:t xml:space="preserve">II. Key Performance Indicators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Target</w:t>
            </w:r>
          </w:p>
        </w:tc>
        <w:tc>
          <w:tcPr/>
          <w:p>
            <w:pPr>
              <w:pStyle w:val="Compact"/>
              <w:jc w:val="left"/>
            </w:pPr>
            <w:r>
              <w:t xml:space="preserve">Actual Performance</w:t>
            </w:r>
          </w:p>
        </w:tc>
        <w:tc>
          <w:tcPr/>
          <w:p>
            <w:pPr>
              <w:pStyle w:val="Compact"/>
              <w:jc w:val="left"/>
            </w:pPr>
            <w:r>
              <w:t xml:space="preserve">Variance</w:t>
            </w:r>
          </w:p>
        </w:tc>
      </w:tr>
      <w:tr>
        <w:tc>
          <w:tcPr/>
          <w:p>
            <w:pPr>
              <w:pStyle w:val="Compact"/>
              <w:jc w:val="left"/>
            </w:pPr>
            <w:r>
              <w:t xml:space="preserve">New Client Acquisition (Jerusalem Schools)</w:t>
            </w:r>
          </w:p>
        </w:tc>
        <w:tc>
          <w:tcPr/>
          <w:p>
            <w:pPr>
              <w:pStyle w:val="Compact"/>
              <w:jc w:val="left"/>
            </w:pPr>
            <w:r>
              <w:t xml:space="preserve">14</w:t>
            </w:r>
          </w:p>
        </w:tc>
        <w:tc>
          <w:tcPr/>
          <w:p>
            <w:pPr>
              <w:pStyle w:val="Compact"/>
              <w:jc w:val="left"/>
            </w:pPr>
            <w:r>
              <w:t xml:space="preserve">18</w:t>
            </w:r>
          </w:p>
        </w:tc>
        <w:tc>
          <w:tcPr/>
          <w:p>
            <w:pPr>
              <w:pStyle w:val="Compact"/>
              <w:jc w:val="left"/>
            </w:pPr>
            <w:r>
              <w:t xml:space="preserve">+28.6%</w:t>
            </w:r>
          </w:p>
        </w:tc>
      </w:tr>
      <w:tr>
        <w:tc>
          <w:tcPr/>
          <w:p>
            <w:pPr>
              <w:pStyle w:val="Compact"/>
              <w:jc w:val="left"/>
            </w:pPr>
            <w:r>
              <w:t xml:space="preserve">Renewal Rate (Existing Jerusalem Partners)</w:t>
            </w:r>
          </w:p>
        </w:tc>
        <w:tc>
          <w:tcPr/>
          <w:p>
            <w:pPr>
              <w:pStyle w:val="Compact"/>
              <w:jc w:val="left"/>
            </w:pPr>
            <w:r>
              <w:t xml:space="preserve">89%</w:t>
            </w:r>
          </w:p>
        </w:tc>
        <w:tc>
          <w:tcPr/>
          <w:p>
            <w:pPr>
              <w:pStyle w:val="Compact"/>
              <w:jc w:val="left"/>
            </w:pPr>
            <w:r>
              <w:t xml:space="preserve">94%</w:t>
            </w:r>
          </w:p>
        </w:tc>
        <w:tc>
          <w:tcPr/>
          <w:p>
            <w:pPr>
              <w:pStyle w:val="Compact"/>
              <w:jc w:val="left"/>
            </w:pPr>
            <w:r>
              <w:t xml:space="preserve">+5.1%</w:t>
            </w:r>
          </w:p>
        </w:tc>
      </w:tr>
      <w:tr>
        <w:tc>
          <w:tcPr/>
          <w:p>
            <w:pPr>
              <w:pStyle w:val="Compact"/>
              <w:jc w:val="left"/>
            </w:pPr>
            <w:r>
              <w:t xml:space="preserve">Average Deal Size (Jerusalem Contracts)</w:t>
            </w:r>
          </w:p>
        </w:tc>
        <w:tc>
          <w:tcPr/>
          <w:p>
            <w:pPr>
              <w:pStyle w:val="Compact"/>
              <w:jc w:val="left"/>
            </w:pPr>
            <w:r>
              <w:t xml:space="preserve">$42,500</w:t>
            </w:r>
          </w:p>
        </w:tc>
        <w:tc>
          <w:tcPr/>
          <w:p>
            <w:pPr>
              <w:pStyle w:val="Compact"/>
              <w:jc w:val="left"/>
            </w:pPr>
            <w:r>
              <w:t xml:space="preserve">$48,900</w:t>
            </w:r>
          </w:p>
        </w:tc>
        <w:tc>
          <w:tcPr/>
          <w:p>
            <w:pPr>
              <w:pStyle w:val="Compact"/>
              <w:jc w:val="left"/>
            </w:pPr>
            <w:r>
              <w:t xml:space="preserve">+15.1%</w:t>
            </w:r>
          </w:p>
        </w:tc>
      </w:tr>
      <w:tr>
        <w:tc>
          <w:tcPr/>
          <w:p>
            <w:pPr>
              <w:pStyle w:val="Compact"/>
              <w:jc w:val="left"/>
            </w:pPr>
            <w:r>
              <w:t xml:space="preserve">Client Satisfaction (NPS)</w:t>
            </w:r>
          </w:p>
        </w:tc>
        <w:tc>
          <w:tcPr/>
          <w:p>
            <w:pPr>
              <w:pStyle w:val="Compact"/>
              <w:jc w:val="left"/>
            </w:pPr>
            <w:r>
              <w:t xml:space="preserve">78</w:t>
            </w:r>
          </w:p>
        </w:tc>
        <w:tc>
          <w:tcPr/>
          <w:p>
            <w:pPr>
              <w:pStyle w:val="Compact"/>
              <w:jc w:val="left"/>
            </w:pPr>
            <w:r>
              <w:t xml:space="preserve">86</w:t>
            </w:r>
          </w:p>
        </w:tc>
        <w:tc>
          <w:tcPr/>
          <w:p>
            <w:pPr>
              <w:pStyle w:val="Compact"/>
              <w:jc w:val="left"/>
            </w:pPr>
            <w:r>
              <w:t xml:space="preserve">+10.3%</w:t>
            </w:r>
          </w:p>
        </w:tc>
      </w:tr>
    </w:tbl>
    <w:bookmarkEnd w:id="22"/>
    <w:bookmarkStart w:id="23" w:name="iii.-jerusalem-specific-success-factors"/>
    <w:p>
      <w:pPr>
        <w:pStyle w:val="Heading2"/>
      </w:pPr>
      <w:r>
        <w:t xml:space="preserve">III. Jerusalem-Specific Success Factors</w:t>
      </w:r>
    </w:p>
    <w:p>
      <w:pPr>
        <w:pStyle w:val="FirstParagraph"/>
      </w:pPr>
      <w:r>
        <w:t xml:space="preserve">The Education Administrator's success in Israel Jerusalem stems from hyper-localized strategies:</w:t>
      </w:r>
    </w:p>
    <w:p>
      <w:pPr>
        <w:numPr>
          <w:ilvl w:val="0"/>
          <w:numId w:val="1001"/>
        </w:numPr>
        <w:pStyle w:val="Compact"/>
      </w:pPr>
      <w:r>
        <w:rPr>
          <w:bCs/>
          <w:b/>
        </w:rPr>
        <w:t xml:space="preserve">Cultural Navigation:</w:t>
      </w:r>
      <w:r>
        <w:t xml:space="preserve"> </w:t>
      </w:r>
      <w:r>
        <w:t xml:space="preserve">Successfully secured partnerships with Jerusalem-based religious institutions by incorporating Hebrew-language materials and aligning solutions with "Torah and secular studies" frameworks, a critical factor in local school procurement decisions.</w:t>
      </w:r>
    </w:p>
    <w:p>
      <w:pPr>
        <w:numPr>
          <w:ilvl w:val="0"/>
          <w:numId w:val="1001"/>
        </w:numPr>
        <w:pStyle w:val="Compact"/>
      </w:pPr>
      <w:r>
        <w:rPr>
          <w:bCs/>
          <w:b/>
        </w:rPr>
        <w:t xml:space="preserve">Regulatory Expertise:</w:t>
      </w:r>
      <w:r>
        <w:t xml:space="preserve"> </w:t>
      </w:r>
      <w:r>
        <w:t xml:space="preserve">Mastered Israel's Ministry of Education certification requirements for educational technology, reducing contract negotiation timelines by 32% through preemptive compliance documentation.</w:t>
      </w:r>
    </w:p>
    <w:p>
      <w:pPr>
        <w:numPr>
          <w:ilvl w:val="0"/>
          <w:numId w:val="1001"/>
        </w:numPr>
        <w:pStyle w:val="Compact"/>
      </w:pPr>
      <w:r>
        <w:rPr>
          <w:bCs/>
          <w:b/>
        </w:rPr>
        <w:t xml:space="preserve">Community Integration:</w:t>
      </w:r>
      <w:r>
        <w:t xml:space="preserve"> </w:t>
      </w:r>
      <w:r>
        <w:t xml:space="preserve">Leveraged Jerusalem-specific networks like the Jerusalem Municipality Education Committee and local parent-teacher associations to co-host workshops, generating 12 qualified leads from trusted referrals.</w:t>
      </w:r>
    </w:p>
    <w:p>
      <w:pPr>
        <w:numPr>
          <w:ilvl w:val="0"/>
          <w:numId w:val="1001"/>
        </w:numPr>
        <w:pStyle w:val="Compact"/>
      </w:pPr>
      <w:r>
        <w:rPr>
          <w:bCs/>
          <w:b/>
        </w:rPr>
        <w:t xml:space="preserve">Tailored Sales Approach:</w:t>
      </w:r>
      <w:r>
        <w:t xml:space="preserve"> </w:t>
      </w:r>
      <w:r>
        <w:t xml:space="preserve">Developed a "Jerusalem Curriculum Map" template showing solution alignment with local standards (e.g., Hebrew language proficiency metrics, Israeli history integration), directly addressing decision-maker pain points.</w:t>
      </w:r>
    </w:p>
    <w:bookmarkEnd w:id="23"/>
    <w:bookmarkStart w:id="24" w:name="Xe7be9ef28d3dd422b47f127c610913af03edb15"/>
    <w:p>
      <w:pPr>
        <w:pStyle w:val="Heading2"/>
      </w:pPr>
      <w:r>
        <w:t xml:space="preserve">IV. Challenges Overcome in Israel Jerusalem</w:t>
      </w:r>
    </w:p>
    <w:p>
      <w:pPr>
        <w:pStyle w:val="FirstParagraph"/>
      </w:pPr>
      <w:r>
        <w:t xml:space="preserve">Operating within Israel Jerusalem presented unique challenges that the Education Administrator navigated successfully:</w:t>
      </w:r>
    </w:p>
    <w:p>
      <w:pPr>
        <w:pStyle w:val="BodyText"/>
      </w:pPr>
      <w:r>
        <w:rPr>
          <w:iCs/>
          <w:i/>
        </w:rPr>
        <w:t xml:space="preserve">Challenge: Political Sensitivity in Religious Education Partnerships</w:t>
      </w:r>
      <w:r>
        <w:t xml:space="preserve"> </w:t>
      </w:r>
      <w:r>
        <w:t xml:space="preserve">Many schools (particularly in East Jerusalem) require careful navigation of religious affiliation requirements. The Education Administrator collaborated with local religious scholars to co-design solutions that met both secular curriculum standards and faith-based pedagogy, avoiding cultural missteps that previously caused 30% of negotiations to stall.</w:t>
      </w:r>
    </w:p>
    <w:p>
      <w:pPr>
        <w:pStyle w:val="BodyText"/>
      </w:pPr>
      <w:r>
        <w:rPr>
          <w:iCs/>
          <w:i/>
        </w:rPr>
        <w:t xml:space="preserve">Challenge: Fragmented Procurement Cycles</w:t>
      </w:r>
      <w:r>
        <w:t xml:space="preserve"> </w:t>
      </w:r>
      <w:r>
        <w:t xml:space="preserve">Jerusalem's education budget cycles operate on unique fiscal calendars tied to religious holidays. The administrator implemented a quarterly forecasting system aligned with Israeli school funding schedules, reducing "last-minute" proposal submissions by 45% and improving close rates.</w:t>
      </w:r>
    </w:p>
    <w:p>
      <w:pPr>
        <w:pStyle w:val="BodyText"/>
      </w:pPr>
      <w:r>
        <w:rPr>
          <w:iCs/>
          <w:i/>
        </w:rPr>
        <w:t xml:space="preserve">Challenge: Competition from Local EdTech Providers</w:t>
      </w:r>
      <w:r>
        <w:t xml:space="preserve"> </w:t>
      </w:r>
      <w:r>
        <w:t xml:space="preserve">Homegrown Israeli companies offered cheaper, less scalable solutions. The Education Administrator countered this by emphasizing long-term ROI through Jerusalem-specific case studies (e.g., "How Haifa-based School X increased exam pass rates by 22% using our platform")—proving superior value beyond initial cost.</w:t>
      </w:r>
    </w:p>
    <w:bookmarkEnd w:id="24"/>
    <w:bookmarkStart w:id="25" w:name="X214c780b1431d51c6c944597a61b2d15100aee9"/>
    <w:p>
      <w:pPr>
        <w:pStyle w:val="Heading2"/>
      </w:pPr>
      <w:r>
        <w:t xml:space="preserve">V. Strategic Recommendations for Israel Jerusalem Expansion</w:t>
      </w:r>
    </w:p>
    <w:p>
      <w:pPr>
        <w:pStyle w:val="FirstParagraph"/>
      </w:pPr>
      <w:r>
        <w:t xml:space="preserve">Based on Q3 results, we recommend these actionable steps to scale the Education Administrator model across Israel Jerusalem:</w:t>
      </w:r>
    </w:p>
    <w:p>
      <w:pPr>
        <w:numPr>
          <w:ilvl w:val="0"/>
          <w:numId w:val="1002"/>
        </w:numPr>
        <w:pStyle w:val="Compact"/>
      </w:pPr>
      <w:r>
        <w:rPr>
          <w:bCs/>
          <w:b/>
        </w:rPr>
        <w:t xml:space="preserve">Jerusalem-Specific Product Suite:</w:t>
      </w:r>
      <w:r>
        <w:t xml:space="preserve"> </w:t>
      </w:r>
      <w:r>
        <w:t xml:space="preserve">Develop a "Jerusalem Curriculum Package" bundling Hebrew-language support and religious studies alignment features, projected to increase average deal size by $8,200.</w:t>
      </w:r>
    </w:p>
    <w:p>
      <w:pPr>
        <w:numPr>
          <w:ilvl w:val="0"/>
          <w:numId w:val="1002"/>
        </w:numPr>
        <w:pStyle w:val="Compact"/>
      </w:pPr>
      <w:r>
        <w:rPr>
          <w:bCs/>
          <w:b/>
        </w:rPr>
        <w:t xml:space="preserve">Municipal Partnership Program:</w:t>
      </w:r>
      <w:r>
        <w:t xml:space="preserve"> </w:t>
      </w:r>
      <w:r>
        <w:t xml:space="preserve">Formalize collaboration with Jerusalem Municipality Education Division for joint professional development workshops (currently in pilot phase at 3 schools), targeting 6 new institutional contracts by Q1 2024.</w:t>
      </w:r>
    </w:p>
    <w:p>
      <w:pPr>
        <w:numPr>
          <w:ilvl w:val="0"/>
          <w:numId w:val="1002"/>
        </w:numPr>
        <w:pStyle w:val="Compact"/>
      </w:pPr>
      <w:r>
        <w:rPr>
          <w:bCs/>
          <w:b/>
        </w:rPr>
        <w:t xml:space="preserve">Education Administrator Cross-Training:</w:t>
      </w:r>
      <w:r>
        <w:t xml:space="preserve"> </w:t>
      </w:r>
      <w:r>
        <w:t xml:space="preserve">Create a certification program for administrators covering Israel's unique educational landscape, reducing onboarding time from 90 to 30 days while maintaining cultural proficiency.</w:t>
      </w:r>
    </w:p>
    <w:p>
      <w:pPr>
        <w:numPr>
          <w:ilvl w:val="0"/>
          <w:numId w:val="1002"/>
        </w:numPr>
        <w:pStyle w:val="Compact"/>
      </w:pPr>
      <w:r>
        <w:rPr>
          <w:bCs/>
          <w:b/>
        </w:rPr>
        <w:t xml:space="preserve">Data-Driven Territory Planning:</w:t>
      </w:r>
      <w:r>
        <w:t xml:space="preserve"> </w:t>
      </w:r>
      <w:r>
        <w:t xml:space="preserve">Use Jerusalem's school district data (available through Ministry of Education) to prioritize high-potential areas like East Jerusalem and the Old City, where competitor penetration remains low.</w:t>
      </w:r>
    </w:p>
    <w:bookmarkEnd w:id="25"/>
    <w:bookmarkStart w:id="26" w:name="vi.-conclusion"/>
    <w:p>
      <w:pPr>
        <w:pStyle w:val="Heading2"/>
      </w:pPr>
      <w:r>
        <w:t xml:space="preserve">VI. Conclusion</w:t>
      </w:r>
    </w:p>
    <w:p>
      <w:pPr>
        <w:pStyle w:val="FirstParagraph"/>
      </w:pPr>
      <w:r>
        <w:t xml:space="preserve">This Sales Report unequivocally demonstrates that the Education Administrator role in Israel Jerusalem is a critical growth catalyst—not merely an administrative position. By leveraging deep cultural understanding, regulatory expertise, and hyper-localized sales strategies, our Education Administrator has generated $837,000 in new revenue while building sustainable partnerships across Jerusalem's diverse educational ecosystem. The 17% sales growth in Q3 represents more than a departmental win; it validates that when education administrators operate with market-specific intelligence (particularly within Israel Jerusalem's complex environment), they directly drive institutional viability and community impact.</w:t>
      </w:r>
    </w:p>
    <w:p>
      <w:pPr>
        <w:pStyle w:val="BodyText"/>
      </w:pPr>
      <w:r>
        <w:t xml:space="preserve">As we enter the new academic year, our strategy remains clear: Invest in Education Administrator talent development tailored to Israel Jerusalem's unique landscape. The data proves this investment yields exponential returns—not just in sales metrics, but in building trust-based relationships that position us as the premier educational solutions partner for Jerusalem's schools. Our success here sets the blueprint for all operations across Israel and beyond.</w:t>
      </w:r>
    </w:p>
    <w:p>
      <w:pPr>
        <w:pStyle w:val="BodyText"/>
      </w:pPr>
      <w:r>
        <w:t xml:space="preserve">Prepared by: Regional Sales Strategy Office</w:t>
      </w:r>
      <w:r>
        <w:br/>
      </w:r>
      <w: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Performance - Israel Jerusalem</dc:title>
  <dc:creator/>
  <dc:language>en</dc:language>
  <cp:keywords/>
  <dcterms:created xsi:type="dcterms:W3CDTF">2025-12-11T17:25:41Z</dcterms:created>
  <dcterms:modified xsi:type="dcterms:W3CDTF">2025-12-11T17:25:41Z</dcterms:modified>
</cp:coreProperties>
</file>

<file path=docProps/custom.xml><?xml version="1.0" encoding="utf-8"?>
<Properties xmlns="http://schemas.openxmlformats.org/officeDocument/2006/custom-properties" xmlns:vt="http://schemas.openxmlformats.org/officeDocument/2006/docPropsVTypes"/>
</file>