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Japan</w:t>
      </w:r>
      <w:r>
        <w:t xml:space="preserve"> </w:t>
      </w:r>
      <w:r>
        <w:t xml:space="preserve">Kyoto</w:t>
      </w:r>
      <w:r>
        <w:t xml:space="preserve"> </w:t>
      </w:r>
      <w:r>
        <w:t xml:space="preserve">Market</w:t>
      </w:r>
    </w:p>
    <w:bookmarkStart w:id="29" w:name="X8d94c0d19a5f22bebf64a3c2b261d31759b0f9e"/>
    <w:p>
      <w:pPr>
        <w:pStyle w:val="Heading1"/>
      </w:pPr>
      <w:r>
        <w:t xml:space="preserve">Comprehensive Sales Report: Education Administrator Solutions for Japan Kyoto Market</w:t>
      </w:r>
    </w:p>
    <w:bookmarkStart w:id="20" w:name="executive-summary"/>
    <w:p>
      <w:pPr>
        <w:pStyle w:val="Heading2"/>
      </w:pPr>
      <w:r>
        <w:t xml:space="preserve">Executive Summary</w:t>
      </w:r>
    </w:p>
    <w:p>
      <w:pPr>
        <w:pStyle w:val="FirstParagraph"/>
      </w:pPr>
      <w:r>
        <w:t xml:space="preserve">This formal Sales Report presents a detailed analysis of the Education Administrator solutions market within Japan's Kyoto region. As the cultural and educational hub of ancient Japan, Kyoto represents a unique convergence of traditional learning values and modern administrative needs. This report demonstrates how our specialized Education Administrator platform has achieved remarkable traction in Kyoto's educational ecosystem, generating significant sales growth while addressing region-specific challenges. The data confirms that our solution is now the preferred choice for 73% of primary/secondary schools in Kyoto Prefecture seeking administrative optimization.</w:t>
      </w:r>
    </w:p>
    <w:bookmarkEnd w:id="20"/>
    <w:bookmarkStart w:id="21" w:name="X43961ec6f9cd611d19db91b736640d83fdd2141"/>
    <w:p>
      <w:pPr>
        <w:pStyle w:val="Heading2"/>
      </w:pPr>
      <w:r>
        <w:t xml:space="preserve">Market Context: Japan Kyoto Educational Landscape</w:t>
      </w:r>
    </w:p>
    <w:p>
      <w:pPr>
        <w:pStyle w:val="FirstParagraph"/>
      </w:pPr>
      <w:r>
        <w:t xml:space="preserve">Kyoto's education sector faces unprecedented transformation as Japan accelerates its digitalization initiatives under the "Society 5.0" framework. With over 1,400 educational institutions across Kyoto City and Prefecture—including renowned private academies like Ritsumeikan University and public schools adhering to national curricular standards—the demand for sophisticated Education Administrator tools has surged by 38% YoY. This growth is driven by Kyoto's dual focus on preserving traditional learning philosophies while implementing modern administrative efficiency. Our Sales Report identifies Kyoto as the single most promising market in Japan for education technology, with a 22% higher adoption rate of integrated management systems compared to other prefectures.</w:t>
      </w:r>
    </w:p>
    <w:bookmarkEnd w:id="21"/>
    <w:bookmarkStart w:id="22" w:name="Xf180fb2f2432b5e9a729966f8484ba38725621e"/>
    <w:p>
      <w:pPr>
        <w:pStyle w:val="Heading2"/>
      </w:pPr>
      <w:r>
        <w:t xml:space="preserve">Key Challenges Addressed by Education Administrator Solutions</w:t>
      </w:r>
    </w:p>
    <w:p>
      <w:pPr>
        <w:pStyle w:val="FirstParagraph"/>
      </w:pPr>
      <w:r>
        <w:t xml:space="preserve">Our field analysis reveals three critical pain points unique to Kyoto's educational administrators:</w:t>
      </w:r>
    </w:p>
    <w:p>
      <w:pPr>
        <w:numPr>
          <w:ilvl w:val="0"/>
          <w:numId w:val="1001"/>
        </w:numPr>
        <w:pStyle w:val="Compact"/>
      </w:pPr>
      <w:r>
        <w:rPr>
          <w:bCs/>
          <w:b/>
        </w:rPr>
        <w:t xml:space="preserve">Cultural Integration Complexity:</w:t>
      </w:r>
      <w:r>
        <w:t xml:space="preserve"> </w:t>
      </w:r>
      <w:r>
        <w:t xml:space="preserve">Kyoto schools require seamless blending of traditional values (e.g., respect for elders in academic settings) with digital workflows. Standard administrative tools fail to accommodate this nuance.</w:t>
      </w:r>
    </w:p>
    <w:p>
      <w:pPr>
        <w:numPr>
          <w:ilvl w:val="0"/>
          <w:numId w:val="1001"/>
        </w:numPr>
        <w:pStyle w:val="Compact"/>
      </w:pPr>
      <w:r>
        <w:rPr>
          <w:bCs/>
          <w:b/>
        </w:rPr>
        <w:t xml:space="preserve">Multi-Platform Fragmentation:</w:t>
      </w:r>
      <w:r>
        <w:t xml:space="preserve"> </w:t>
      </w:r>
      <w:r>
        <w:t xml:space="preserve">89% of Kyoto schools use separate systems for student records, parent communication, and curriculum management—creating administrative bottlenecks.</w:t>
      </w:r>
    </w:p>
    <w:p>
      <w:pPr>
        <w:numPr>
          <w:ilvl w:val="0"/>
          <w:numId w:val="1001"/>
        </w:numPr>
        <w:pStyle w:val="Compact"/>
      </w:pPr>
      <w:r>
        <w:rPr>
          <w:bCs/>
          <w:b/>
        </w:rPr>
        <w:t xml:space="preserve">Compliance Demands:</w:t>
      </w:r>
      <w:r>
        <w:t xml:space="preserve"> </w:t>
      </w:r>
      <w:r>
        <w:t xml:space="preserve">Kyoto's strict adherence to both national education laws (e.g., School Education Act) and local cultural preservation regulations necessitates region-specific solution customization.</w:t>
      </w:r>
    </w:p>
    <w:bookmarkEnd w:id="22"/>
    <w:bookmarkStart w:id="24" w:name="X7f5ca0b39e34ee72e2402d2800fca51f44dba3c"/>
    <w:p>
      <w:pPr>
        <w:pStyle w:val="Heading2"/>
      </w:pPr>
      <w:r>
        <w:t xml:space="preserve">Sales Performance: Japan Kyoto Implementation Results</w:t>
      </w:r>
    </w:p>
    <w:p>
      <w:pPr>
        <w:pStyle w:val="FirstParagraph"/>
      </w:pPr>
      <w:r>
        <w:t xml:space="preserve">The 2023-2024 Sales Report documents exceptional performance metrics in Kyoto. Our tailored Education Administrator platform achieved:</w:t>
      </w:r>
    </w:p>
    <w:p>
      <w:pPr>
        <w:numPr>
          <w:ilvl w:val="0"/>
          <w:numId w:val="1002"/>
        </w:numPr>
        <w:pStyle w:val="Compact"/>
      </w:pPr>
      <w:r>
        <w:rPr>
          <w:bCs/>
          <w:b/>
        </w:rPr>
        <w:t xml:space="preserve">147% YoY Revenue Growth</w:t>
      </w:r>
      <w:r>
        <w:t xml:space="preserve"> </w:t>
      </w:r>
      <w:r>
        <w:t xml:space="preserve">within Kyoto's K-12 sector, exceeding national averages by 6.8x.</w:t>
      </w:r>
    </w:p>
    <w:p>
      <w:pPr>
        <w:numPr>
          <w:ilvl w:val="0"/>
          <w:numId w:val="1002"/>
        </w:numPr>
        <w:pStyle w:val="Compact"/>
      </w:pPr>
      <w:r>
        <w:rPr>
          <w:bCs/>
          <w:b/>
        </w:rPr>
        <w:t xml:space="preserve">92% Client Retention Rate</w:t>
      </w:r>
      <w:r>
        <w:t xml:space="preserve"> </w:t>
      </w:r>
      <w:r>
        <w:t xml:space="preserve">among Kyoto institutions (vs. 78% industry average), demonstrating solution effectiveness.</w:t>
      </w:r>
    </w:p>
    <w:p>
      <w:pPr>
        <w:numPr>
          <w:ilvl w:val="0"/>
          <w:numId w:val="1002"/>
        </w:numPr>
        <w:pStyle w:val="Compact"/>
      </w:pPr>
      <w:r>
        <w:rPr>
          <w:bCs/>
          <w:b/>
        </w:rPr>
        <w:t xml:space="preserve">Premium Pricing Premium:</w:t>
      </w:r>
      <w:r>
        <w:t xml:space="preserve"> </w:t>
      </w:r>
      <w:r>
        <w:t xml:space="preserve">Kyoto schools pay 19% above standard rates due to perceived cultural alignment value.</w:t>
      </w:r>
    </w:p>
    <w:bookmarkStart w:id="23" w:name="X680eb14dab7dfb276418bee875c8ad712f27a01"/>
    <w:p>
      <w:pPr>
        <w:pStyle w:val="Heading3"/>
      </w:pPr>
      <w:r>
        <w:t xml:space="preserve">Case Study: Kyoto Prefectural Board of Education Partnership</w:t>
      </w:r>
    </w:p>
    <w:p>
      <w:pPr>
        <w:pStyle w:val="FirstParagraph"/>
      </w:pPr>
      <w:r>
        <w:t xml:space="preserve">A landmark contract with the Kyoto Prefectural Board of Education exemplifies our Sales Report success. The 2-year implementation delivered:</w:t>
      </w:r>
    </w:p>
    <w:p>
      <w:pPr>
        <w:numPr>
          <w:ilvl w:val="0"/>
          <w:numId w:val="1003"/>
        </w:numPr>
        <w:pStyle w:val="Compact"/>
      </w:pPr>
      <w:r>
        <w:t xml:space="preserve">Centralized management of 1,082 schools across Kyoto</w:t>
      </w:r>
    </w:p>
    <w:p>
      <w:pPr>
        <w:numPr>
          <w:ilvl w:val="0"/>
          <w:numId w:val="1003"/>
        </w:numPr>
        <w:pStyle w:val="Compact"/>
      </w:pPr>
      <w:r>
        <w:t xml:space="preserve">Custom integration of "Gakko" (school) culture modules preserving Kyoto's pedagogical traditions</w:t>
      </w:r>
    </w:p>
    <w:p>
      <w:pPr>
        <w:numPr>
          <w:ilvl w:val="0"/>
          <w:numId w:val="1003"/>
        </w:numPr>
        <w:pStyle w:val="Compact"/>
      </w:pPr>
      <w:r>
        <w:t xml:space="preserve">37% reduction in administrative processing time for parent-teacher conferences (critical in Kyoto's community-focused education model)</w:t>
      </w:r>
    </w:p>
    <w:p>
      <w:pPr>
        <w:pStyle w:val="FirstParagraph"/>
      </w:pPr>
      <w:r>
        <w:t xml:space="preserve">This project generated ¥248 million in direct sales revenue and became a blueprint for our Japan Kyoto strategy, influencing 67 additional institutional contracts.</w:t>
      </w:r>
    </w:p>
    <w:bookmarkEnd w:id="23"/>
    <w:bookmarkEnd w:id="24"/>
    <w:bookmarkStart w:id="25" w:name="Xf90c682fd8f31815e445e92704965f275c59ea2"/>
    <w:p>
      <w:pPr>
        <w:pStyle w:val="Heading2"/>
      </w:pPr>
      <w:r>
        <w:t xml:space="preserve">Competitive Differentiation in Japan Kyoto Market</w:t>
      </w:r>
    </w:p>
    <w:p>
      <w:pPr>
        <w:pStyle w:val="FirstParagraph"/>
      </w:pPr>
      <w:r>
        <w:t xml:space="preserve">While global competitors offer generic Education Administrator tools, our Japan Kyoto solutions excel through:</w:t>
      </w:r>
    </w:p>
    <w:p>
      <w:pPr>
        <w:numPr>
          <w:ilvl w:val="0"/>
          <w:numId w:val="1004"/>
        </w:numPr>
        <w:pStyle w:val="Compact"/>
      </w:pPr>
      <w:r>
        <w:rPr>
          <w:bCs/>
          <w:b/>
        </w:rPr>
        <w:t xml:space="preserve">Localized Cultural Intelligence:</w:t>
      </w:r>
      <w:r>
        <w:t xml:space="preserve"> </w:t>
      </w:r>
      <w:r>
        <w:t xml:space="preserve">Our platform includes "Kyoto Values" modules—automated reminders for cultural observances (e.g., Gion Matsuri festival preparations), and bilingual (Japanese/English) communication templates for international students.</w:t>
      </w:r>
    </w:p>
    <w:p>
      <w:pPr>
        <w:numPr>
          <w:ilvl w:val="0"/>
          <w:numId w:val="1004"/>
        </w:numPr>
        <w:pStyle w:val="Compact"/>
      </w:pPr>
      <w:r>
        <w:rPr>
          <w:bCs/>
          <w:b/>
        </w:rPr>
        <w:t xml:space="preserve">Prefecture-Specific Compliance Engine:</w:t>
      </w:r>
      <w:r>
        <w:t xml:space="preserve"> </w:t>
      </w:r>
      <w:r>
        <w:t xml:space="preserve">Pre-configured regulatory checks for Kyoto's unique ordinances, such as the "Kyoto School Beautification Ordinance."</w:t>
      </w:r>
    </w:p>
    <w:p>
      <w:pPr>
        <w:numPr>
          <w:ilvl w:val="0"/>
          <w:numId w:val="1004"/>
        </w:numPr>
        <w:pStyle w:val="Compact"/>
      </w:pPr>
      <w:r>
        <w:rPr>
          <w:bCs/>
          <w:b/>
        </w:rPr>
        <w:t xml:space="preserve">On-Site Kyoto Support Teams:</w:t>
      </w:r>
      <w:r>
        <w:t xml:space="preserve"> </w:t>
      </w:r>
      <w:r>
        <w:t xml:space="preserve">12 dedicated staff in Kyoto City providing face-to-face training—addressing Japanese educational culture's preference for direct relationship-building.</w:t>
      </w:r>
    </w:p>
    <w:bookmarkEnd w:id="25"/>
    <w:bookmarkStart w:id="26" w:name="X5f0555a1c66ff1a0d3bd6448e663a51a79eca6f"/>
    <w:p>
      <w:pPr>
        <w:pStyle w:val="Heading2"/>
      </w:pPr>
      <w:r>
        <w:t xml:space="preserve">Sales Strategy Analysis: Why Japan Kyoto Leads</w:t>
      </w:r>
    </w:p>
    <w:p>
      <w:pPr>
        <w:pStyle w:val="FirstParagraph"/>
      </w:pPr>
      <w:r>
        <w:t xml:space="preserve">Our Sales Report reveals that Kyoto's success stems from a hyper-localized approach:</w:t>
      </w:r>
    </w:p>
    <w:p>
      <w:pPr>
        <w:pStyle w:val="BlockText"/>
      </w:pPr>
      <w:r>
        <w:t xml:space="preserve">"Kyoto education administrators don't buy software—they invest in cultural preservation partners. Our sales team undergoes mandatory 'Kyoto Cultural Immersion' training, including tea ceremony sessions to understand administrative relationship dynamics. This builds trust beyond transactional relationships."</w:t>
      </w:r>
    </w:p>
    <w:p>
      <w:pPr>
        <w:pStyle w:val="FirstParagraph"/>
      </w:pPr>
      <w:r>
        <w:t xml:space="preserve">This strategy yielded a 41% higher conversion rate from demo to sale compared to other Japanese regions. The Kyoto branch achieved $583K in quarterly sales—27% above national targets—through strategic partnerships with Kyoto's education associations.</w:t>
      </w:r>
    </w:p>
    <w:bookmarkEnd w:id="26"/>
    <w:bookmarkStart w:id="27" w:name="Xe739f1b1e4a24d87523a3d9a8135ad763b93a33"/>
    <w:p>
      <w:pPr>
        <w:pStyle w:val="Heading2"/>
      </w:pPr>
      <w:r>
        <w:t xml:space="preserve">Future Outlook: Education Administrator Market Projections for Japan Kyoto</w:t>
      </w:r>
    </w:p>
    <w:p>
      <w:pPr>
        <w:pStyle w:val="FirstParagraph"/>
      </w:pPr>
      <w:r>
        <w:t xml:space="preserve">Based on current trends, our Sales Report projects:</w:t>
      </w:r>
    </w:p>
    <w:p>
      <w:pPr>
        <w:numPr>
          <w:ilvl w:val="0"/>
          <w:numId w:val="1005"/>
        </w:numPr>
        <w:pStyle w:val="Compact"/>
      </w:pPr>
      <w:r>
        <w:rPr>
          <w:bCs/>
          <w:b/>
        </w:rPr>
        <w:t xml:space="preserve">Market Expansion:</w:t>
      </w:r>
      <w:r>
        <w:t xml:space="preserve"> </w:t>
      </w:r>
      <w:r>
        <w:t xml:space="preserve">31% growth in Education Administrator demand by 2026 as Kyoto implements new national digital education mandates.</w:t>
      </w:r>
    </w:p>
    <w:p>
      <w:pPr>
        <w:numPr>
          <w:ilvl w:val="0"/>
          <w:numId w:val="1005"/>
        </w:numPr>
        <w:pStyle w:val="Compact"/>
      </w:pPr>
      <w:r>
        <w:rPr>
          <w:bCs/>
          <w:b/>
        </w:rPr>
        <w:t xml:space="preserve">New Revenue Streams:</w:t>
      </w:r>
      <w:r>
        <w:t xml:space="preserve"> </w:t>
      </w:r>
      <w:r>
        <w:t xml:space="preserve">Development of "Kyoto Heritage" add-ons for schools with historical campus sites (e.g., temples used as school locations), projected to generate ¥75M annually by 2025.</w:t>
      </w:r>
    </w:p>
    <w:p>
      <w:pPr>
        <w:numPr>
          <w:ilvl w:val="0"/>
          <w:numId w:val="1005"/>
        </w:numPr>
        <w:pStyle w:val="Compact"/>
      </w:pPr>
      <w:r>
        <w:rPr>
          <w:bCs/>
          <w:b/>
        </w:rPr>
        <w:t xml:space="preserve">Sustainability Focus:</w:t>
      </w:r>
      <w:r>
        <w:t xml:space="preserve"> </w:t>
      </w:r>
      <w:r>
        <w:t xml:space="preserve">Kyoto's carbon-neutral education goals create demand for paperless administrative solutions, positioning our platform as essential infrastructure.</w:t>
      </w:r>
    </w:p>
    <w:bookmarkEnd w:id="27"/>
    <w:bookmarkStart w:id="28" w:name="X81fac52b2ce2b1108a0857414fc3f47cc2a769c"/>
    <w:p>
      <w:pPr>
        <w:pStyle w:val="Heading2"/>
      </w:pPr>
      <w:r>
        <w:t xml:space="preserve">Conclusion: The Kyoto Advantage in Education Administration</w:t>
      </w:r>
    </w:p>
    <w:p>
      <w:pPr>
        <w:pStyle w:val="FirstParagraph"/>
      </w:pPr>
      <w:r>
        <w:t xml:space="preserve">This Sales Report unequivocally demonstrates that Japan Kyoto represents the epicenter of innovation for Education Administrator solutions. By embedding cultural intelligence into every facet of our product and sales methodology, we've transformed administrative tools into strategic assets that honor Kyoto's educational heritage while enabling modern operational excellence. The success in Kyoto proves that when technology aligns with regional identity—rather than imposing generic solutions—it unlocks unprecedented market potential.</w:t>
      </w:r>
    </w:p>
    <w:p>
      <w:pPr>
        <w:pStyle w:val="BodyText"/>
      </w:pPr>
      <w:r>
        <w:t xml:space="preserve">As the Education Administrator landscape evolves, our commitment to Japan Kyoto remains absolute. We will continue investing in localized R&amp;D teams within Kyoto City, ensuring our solutions grow organically alongside the city's educational philosophy. For institutions seeking to navigate Japan's complex educational administration while preserving cultural authenticity, this Sales Report confirms that partnering with a culturally fluent Education Administrator provider isn't just advantageous—it's essential for sustainable growth. The Kyoto market has set the standard: where technology serves tradition, not replaces it.</w:t>
      </w:r>
    </w:p>
    <w:p>
      <w:pPr>
        <w:pStyle w:val="BodyText"/>
      </w:pPr>
      <w:r>
        <w:rPr>
          <w:bCs/>
          <w:b/>
        </w:rPr>
        <w:t xml:space="preserve">Prepared By:</w:t>
      </w:r>
      <w:r>
        <w:t xml:space="preserve"> </w:t>
      </w:r>
      <w:r>
        <w:t xml:space="preserve">Global Education Solutions Division |</w:t>
      </w:r>
      <w:r>
        <w:t xml:space="preserve"> </w:t>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Japan Kyoto Market</dc:title>
  <dc:creator/>
  <dc:language>en</dc:language>
  <cp:keywords/>
  <dcterms:created xsi:type="dcterms:W3CDTF">2025-12-11T03:22:27Z</dcterms:created>
  <dcterms:modified xsi:type="dcterms:W3CDTF">2025-12-11T03:22:27Z</dcterms:modified>
</cp:coreProperties>
</file>

<file path=docProps/custom.xml><?xml version="1.0" encoding="utf-8"?>
<Properties xmlns="http://schemas.openxmlformats.org/officeDocument/2006/custom-properties" xmlns:vt="http://schemas.openxmlformats.org/officeDocument/2006/docPropsVTypes"/>
</file>