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Education</w:t>
      </w:r>
      <w:r>
        <w:t xml:space="preserve"> </w:t>
      </w:r>
      <w:r>
        <w:t xml:space="preserve">Administrator</w:t>
      </w:r>
      <w:r>
        <w:t xml:space="preserve"> </w:t>
      </w:r>
      <w:r>
        <w:t xml:space="preserve">Sales</w:t>
      </w:r>
      <w:r>
        <w:t xml:space="preserve"> </w:t>
      </w:r>
      <w:r>
        <w:t xml:space="preserve">Report:</w:t>
      </w:r>
      <w:r>
        <w:t xml:space="preserve"> </w:t>
      </w:r>
      <w:r>
        <w:t xml:space="preserve">Japan</w:t>
      </w:r>
      <w:r>
        <w:t xml:space="preserve"> </w:t>
      </w:r>
      <w:r>
        <w:t xml:space="preserve">Osaka</w:t>
      </w:r>
      <w:r>
        <w:t xml:space="preserve"> </w:t>
      </w:r>
      <w:r>
        <w:t xml:space="preserve">Market</w:t>
      </w:r>
    </w:p>
    <w:bookmarkStart w:id="32" w:name="X7a5287788b21a5b009559c6a99aa64b00716f4e"/>
    <w:p>
      <w:pPr>
        <w:pStyle w:val="Heading1"/>
      </w:pPr>
      <w:r>
        <w:t xml:space="preserve">Sales Report: Educational Technology Solutions for Education Administrators in Japan Osaka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Prepared By:</w:t>
      </w:r>
      <w:r>
        <w:t xml:space="preserve"> </w:t>
      </w:r>
      <w:r>
        <w:t xml:space="preserve">Regional Sales Strategy Division</w:t>
      </w:r>
    </w:p>
    <w:bookmarkStart w:id="20" w:name="i.-executive-summary"/>
    <w:p>
      <w:pPr>
        <w:pStyle w:val="Heading2"/>
      </w:pPr>
      <w:r>
        <w:t xml:space="preserve">I. Executive Summary</w:t>
      </w:r>
    </w:p>
    <w:p>
      <w:pPr>
        <w:pStyle w:val="FirstParagraph"/>
      </w:pPr>
      <w:r>
        <w:t xml:space="preserve">This comprehensive Sales Report details the performance, challenges, and strategic opportunities for educational technology solutions targeting Education Administrators across Japan Osaka. As the second-largest metropolitan economy in Japan with 160+ public school districts and 47 private education institutions, Osaka presents a critical growth frontier for our company. The report confirms a 28% year-over-year increase in sales volume to Education Administrators, driven by tailored solutions addressing Osaka's unique educational landscape. This success underscores the strategic importance of our Japan Osaka market focus and validates our specialized approach to serving Education Administrators in this high-potential region.</w:t>
      </w:r>
    </w:p>
    <w:bookmarkEnd w:id="20"/>
    <w:bookmarkStart w:id="21" w:name="X9ccc27125e36b11fb7e0088a1e474d53da549d2"/>
    <w:p>
      <w:pPr>
        <w:pStyle w:val="Heading2"/>
      </w:pPr>
      <w:r>
        <w:t xml:space="preserve">II. Market Context: Japan Osaka Educational Landscape</w:t>
      </w:r>
    </w:p>
    <w:p>
      <w:pPr>
        <w:pStyle w:val="FirstParagraph"/>
      </w:pPr>
      <w:r>
        <w:t xml:space="preserve">Osaka, as a cultural and economic hub of Japan, maintains one of the nation's most complex education ecosystems. With 41% of Osaka's municipal budget allocated to education (Ministry of Education, 2023), Education Administrators face unprecedented pressure to modernize infrastructure while maintaining Japan's renowned academic standards. Recent reforms prioritizing digital literacy and inclusive learning environments have created a $187 million market opportunity for educational technology solutions specifically designed for Osaka's Education Administrators. This report confirms that our platform has become the preferred solution among 63% of surveyed Education Administrators in Osaka, outperforming regional competitors by 22 percentage points.</w:t>
      </w:r>
    </w:p>
    <w:bookmarkEnd w:id="21"/>
    <w:bookmarkStart w:id="22" w:name="Xcc459587b4b2c27b4b319ce211d59c72631be67"/>
    <w:p>
      <w:pPr>
        <w:pStyle w:val="Heading2"/>
      </w:pPr>
      <w:r>
        <w:t xml:space="preserve">III. Sales Performance Highlights (Q3 2023)</w:t>
      </w:r>
    </w:p>
    <w:p>
      <w:pPr>
        <w:pStyle w:val="FirstParagraph"/>
      </w:pPr>
      <w:r>
        <w:rPr>
          <w:bCs/>
          <w:b/>
        </w:rPr>
        <w:t xml:space="preserve">Key Metrics:</w:t>
      </w:r>
    </w:p>
    <w:p>
      <w:pPr>
        <w:numPr>
          <w:ilvl w:val="0"/>
          <w:numId w:val="1001"/>
        </w:numPr>
        <w:pStyle w:val="Compact"/>
      </w:pPr>
      <w:r>
        <w:rPr>
          <w:bCs/>
          <w:b/>
        </w:rPr>
        <w:t xml:space="preserve">Revenue Growth:</w:t>
      </w:r>
      <w:r>
        <w:t xml:space="preserve"> </w:t>
      </w:r>
      <w:r>
        <w:t xml:space="preserve">¥148.7 million (vs. ¥116.4 million YoY), exceeding regional targets by 35%</w:t>
      </w:r>
    </w:p>
    <w:p>
      <w:pPr>
        <w:numPr>
          <w:ilvl w:val="0"/>
          <w:numId w:val="1001"/>
        </w:numPr>
        <w:pStyle w:val="Compact"/>
      </w:pPr>
      <w:r>
        <w:rPr>
          <w:bCs/>
          <w:b/>
        </w:rPr>
        <w:t xml:space="preserve">New Client Acquisition:</w:t>
      </w:r>
      <w:r>
        <w:t xml:space="preserve"> </w:t>
      </w:r>
      <w:r>
        <w:t xml:space="preserve">29 school districts and private institutions, including Osaka City Board of Education and Kansai International Schools Consortium</w:t>
      </w:r>
    </w:p>
    <w:p>
      <w:pPr>
        <w:numPr>
          <w:ilvl w:val="0"/>
          <w:numId w:val="1001"/>
        </w:numPr>
        <w:pStyle w:val="Compact"/>
      </w:pPr>
      <w:r>
        <w:rPr>
          <w:bCs/>
          <w:b/>
        </w:rPr>
        <w:t xml:space="preserve">Client Retention Rate:</w:t>
      </w:r>
      <w:r>
        <w:t xml:space="preserve"> </w:t>
      </w:r>
      <w:r>
        <w:t xml:space="preserve">94% among Osaka Education Administrators (vs. industry average of 81%)</w:t>
      </w:r>
    </w:p>
    <w:p>
      <w:pPr>
        <w:numPr>
          <w:ilvl w:val="0"/>
          <w:numId w:val="1001"/>
        </w:numPr>
        <w:pStyle w:val="Compact"/>
      </w:pPr>
      <w:r>
        <w:rPr>
          <w:bCs/>
          <w:b/>
        </w:rPr>
        <w:t xml:space="preserve">Solution Adoption:</w:t>
      </w:r>
      <w:r>
        <w:t xml:space="preserve"> </w:t>
      </w:r>
      <w:r>
        <w:t xml:space="preserve">87% utilization rate of our "Osaka Curriculum Integration Suite" among Education Administrators</w:t>
      </w:r>
    </w:p>
    <w:p>
      <w:pPr>
        <w:pStyle w:val="FirstParagraph"/>
      </w:pPr>
      <w:r>
        <w:t xml:space="preserve">The most significant achievement was the exclusive contract with Osaka Prefectural Board of Education, securing implementation across 120 schools. This landmark deal—negotiated through our specialized Japan Osaka education team—demonstrates the effectiveness of our tailored sales approach for Education Administrators who require compliance with both national educational standards and Osaka's municipal regulations.</w:t>
      </w:r>
    </w:p>
    <w:bookmarkEnd w:id="22"/>
    <w:bookmarkStart w:id="26" w:name="X78bed0910fd4e4dd4279b998bc595083c6adadf"/>
    <w:p>
      <w:pPr>
        <w:pStyle w:val="Heading2"/>
      </w:pPr>
      <w:r>
        <w:t xml:space="preserve">IV. Strategic Success Factors for Japan Osaka Market</w:t>
      </w:r>
    </w:p>
    <w:p>
      <w:pPr>
        <w:pStyle w:val="FirstParagraph"/>
      </w:pPr>
      <w:r>
        <w:t xml:space="preserve">Our sales dominance in this segment stems from three core strategies aligned with Education Administrator needs:</w:t>
      </w:r>
    </w:p>
    <w:bookmarkStart w:id="23" w:name="a.-culturally-adapted-solution-design"/>
    <w:p>
      <w:pPr>
        <w:pStyle w:val="Heading3"/>
      </w:pPr>
      <w:r>
        <w:t xml:space="preserve">A. Culturally Adapted Solution Design</w:t>
      </w:r>
    </w:p>
    <w:p>
      <w:pPr>
        <w:pStyle w:val="FirstParagraph"/>
      </w:pPr>
      <w:r>
        <w:t xml:space="preserve">We developed the "Osaka Compliant Learning Ecosystem" platform specifically addressing Education Administrators' pain points:</w:t>
      </w:r>
      <w:r>
        <w:t xml:space="preserve"> </w:t>
      </w:r>
      <w:r>
        <w:t xml:space="preserve">- Seamless integration with Japan's "Gakushū Jōhō Kyoku" (Educational Information Center) system</w:t>
      </w:r>
      <w:r>
        <w:t xml:space="preserve"> </w:t>
      </w:r>
      <w:r>
        <w:t xml:space="preserve">- Multilingual support for English-Japanese academic content (critical for Osaka's international schools)</w:t>
      </w:r>
      <w:r>
        <w:t xml:space="preserve"> </w:t>
      </w:r>
      <w:r>
        <w:t xml:space="preserve">- Compliance with Osaka's unique school management regulations requiring 3-tiered parental communication protocols</w:t>
      </w:r>
    </w:p>
    <w:bookmarkEnd w:id="23"/>
    <w:bookmarkStart w:id="24" w:name="b.-relationship-centric-sales-process"/>
    <w:p>
      <w:pPr>
        <w:pStyle w:val="Heading3"/>
      </w:pPr>
      <w:r>
        <w:t xml:space="preserve">B. Relationship-Centric Sales Process</w:t>
      </w:r>
    </w:p>
    <w:p>
      <w:pPr>
        <w:pStyle w:val="FirstParagraph"/>
      </w:pPr>
      <w:r>
        <w:t xml:space="preserve">Recognizing the hierarchical nature of Japan's education bureaucracy, our sales team adopted a "Kanji" (Japanese relationship) methodology:</w:t>
      </w:r>
      <w:r>
        <w:t xml:space="preserve"> </w:t>
      </w:r>
      <w:r>
        <w:t xml:space="preserve">- Monthly "Kodokushi" (solo visits) with Education Administrators to understand district-specific challenges</w:t>
      </w:r>
      <w:r>
        <w:t xml:space="preserve"> </w:t>
      </w:r>
      <w:r>
        <w:t xml:space="preserve">- Joint workshops at Osaka University's Education Leadership Center</w:t>
      </w:r>
      <w:r>
        <w:t xml:space="preserve"> </w:t>
      </w:r>
      <w:r>
        <w:t xml:space="preserve">- 24/7 Japanese-speaking support team available during Osaka's academic hours (7:00 AM–8:00 PM JST)</w:t>
      </w:r>
    </w:p>
    <w:bookmarkEnd w:id="24"/>
    <w:bookmarkStart w:id="25" w:name="c.-data-driven-value-proposition"/>
    <w:p>
      <w:pPr>
        <w:pStyle w:val="Heading3"/>
      </w:pPr>
      <w:r>
        <w:t xml:space="preserve">C. Data-Driven Value Proposition</w:t>
      </w:r>
    </w:p>
    <w:p>
      <w:pPr>
        <w:pStyle w:val="FirstParagraph"/>
      </w:pPr>
      <w:r>
        <w:t xml:space="preserve">We demonstrated measurable ROI through case studies, such as:</w:t>
      </w:r>
      <w:r>
        <w:t xml:space="preserve"> </w:t>
      </w:r>
      <w:r>
        <w:t xml:space="preserve">- Osaka Municipal School District 12: 42% reduction in administrative time for Education Administrators</w:t>
      </w:r>
      <w:r>
        <w:t xml:space="preserve"> </w:t>
      </w:r>
      <w:r>
        <w:t xml:space="preserve">- Nankō Private High School: 30% improvement in student engagement metrics after platform integration</w:t>
      </w:r>
      <w:r>
        <w:t xml:space="preserve"> </w:t>
      </w:r>
      <w:r>
        <w:t xml:space="preserve">- All results presented in Japanese with visual data formats preferred by Osaka Education Administrators</w:t>
      </w:r>
    </w:p>
    <w:bookmarkEnd w:id="25"/>
    <w:bookmarkEnd w:id="26"/>
    <w:bookmarkStart w:id="29" w:name="v.-challenges-mitigation-strategies"/>
    <w:p>
      <w:pPr>
        <w:pStyle w:val="Heading2"/>
      </w:pPr>
      <w:r>
        <w:t xml:space="preserve">V. Challenges &amp; Mitigation Strategies</w:t>
      </w:r>
    </w:p>
    <w:p>
      <w:pPr>
        <w:pStyle w:val="FirstParagraph"/>
      </w:pPr>
      <w:r>
        <w:t xml:space="preserve">Despite strong performance, two key challenges emerged requiring immediate attention:</w:t>
      </w:r>
    </w:p>
    <w:bookmarkStart w:id="27" w:name="X72ae3fc4795571025711ab15b40e94990cccc40"/>
    <w:p>
      <w:pPr>
        <w:pStyle w:val="Heading3"/>
      </w:pPr>
      <w:r>
        <w:t xml:space="preserve">Challenge 1: Regulatory Complexity in Japan Osaka</w:t>
      </w:r>
    </w:p>
    <w:p>
      <w:pPr>
        <w:pStyle w:val="FirstParagraph"/>
      </w:pPr>
      <w:r>
        <w:t xml:space="preserve">Osaka's education laws (e.g., "Osaka Municipal Education Act") create unique compliance requirements absent in other prefectures. Our initial solution required 6 weeks of reconfiguration for Osaka clients.</w:t>
      </w:r>
    </w:p>
    <w:p>
      <w:pPr>
        <w:pStyle w:val="BodyText"/>
      </w:pPr>
      <w:r>
        <w:rPr>
          <w:bCs/>
          <w:b/>
        </w:rPr>
        <w:t xml:space="preserve">Mitigation:</w:t>
      </w:r>
      <w:r>
        <w:t xml:space="preserve"> </w:t>
      </w:r>
      <w:r>
        <w:t xml:space="preserve">We now maintain a dedicated Osaka Regulatory Compliance Team with access to the Osaka Board of Education's legal database. This reduced implementation time to 48 hours for new contracts.</w:t>
      </w:r>
    </w:p>
    <w:bookmarkEnd w:id="27"/>
    <w:bookmarkStart w:id="28" w:name="X0a78229c1eb238a3bce89ae7c1eea9c6e5b5f6c"/>
    <w:p>
      <w:pPr>
        <w:pStyle w:val="Heading3"/>
      </w:pPr>
      <w:r>
        <w:t xml:space="preserve">Challenge 2: Cultural Communication Barriers</w:t>
      </w:r>
    </w:p>
    <w:p>
      <w:pPr>
        <w:pStyle w:val="FirstParagraph"/>
      </w:pPr>
      <w:r>
        <w:t xml:space="preserve">Initial sales pitches focused on Western-style product features, failing to resonate with Osaka Education Administrators' emphasis on consensus-building ("Nemawashi").</w:t>
      </w:r>
    </w:p>
    <w:p>
      <w:pPr>
        <w:pStyle w:val="BodyText"/>
      </w:pPr>
      <w:r>
        <w:rPr>
          <w:bCs/>
          <w:b/>
        </w:rPr>
        <w:t xml:space="preserve">Mitigation:</w:t>
      </w:r>
      <w:r>
        <w:t xml:space="preserve"> </w:t>
      </w:r>
      <w:r>
        <w:t xml:space="preserve">Sales training now includes "Osaka School Administration Culture" modules. Our pitch structure now emphasizes:</w:t>
      </w:r>
      <w:r>
        <w:t xml:space="preserve"> </w:t>
      </w:r>
      <w:r>
        <w:t xml:space="preserve">1. How solution supports collective decision-making</w:t>
      </w:r>
      <w:r>
        <w:t xml:space="preserve"> </w:t>
      </w:r>
      <w:r>
        <w:t xml:space="preserve">2. Alignment with Osaka's "Shūraku Seikatsu" (Harmonious Life) education philosophy</w:t>
      </w:r>
      <w:r>
        <w:t xml:space="preserve"> </w:t>
      </w:r>
      <w:r>
        <w:t xml:space="preserve">3. Evidence of peer institution success in Osaka</w:t>
      </w:r>
    </w:p>
    <w:bookmarkEnd w:id="28"/>
    <w:bookmarkEnd w:id="29"/>
    <w:bookmarkStart w:id="30" w:name="X90fb1a8f70b1d3e076cafb247df33718f7493e5"/>
    <w:p>
      <w:pPr>
        <w:pStyle w:val="Heading2"/>
      </w:pPr>
      <w:r>
        <w:t xml:space="preserve">VI. Future Outlook for Education Administrators in Japan Osaka</w:t>
      </w:r>
    </w:p>
    <w:p>
      <w:pPr>
        <w:pStyle w:val="FirstParagraph"/>
      </w:pPr>
      <w:r>
        <w:t xml:space="preserve">Based on current market trajectory and government initiatives, we project 40% growth in the Osaka education technology market by 2025. Key drivers include:</w:t>
      </w:r>
      <w:r>
        <w:t xml:space="preserve"> </w:t>
      </w:r>
      <w:r>
        <w:t xml:space="preserve">- Osaka's "Smart City Education Initiative" (funding ¥980 million for digital infrastructure)</w:t>
      </w:r>
      <w:r>
        <w:t xml:space="preserve"> </w:t>
      </w:r>
      <w:r>
        <w:t xml:space="preserve">- National mandate requiring all schools to implement AI-assisted learning by 2026</w:t>
      </w:r>
      <w:r>
        <w:t xml:space="preserve"> </w:t>
      </w:r>
      <w:r>
        <w:t xml:space="preserve">- Rising demand from Education Administrators for predictive analytics tools</w:t>
      </w:r>
    </w:p>
    <w:p>
      <w:pPr>
        <w:pStyle w:val="BodyText"/>
      </w:pPr>
      <w:r>
        <w:t xml:space="preserve">Our strategic priorities for Japan Osaka include:</w:t>
      </w:r>
      <w:r>
        <w:t xml:space="preserve"> </w:t>
      </w:r>
      <w:r>
        <w:t xml:space="preserve">1. Launching "Osaka Ed-Admin Intelligence Hub" (Q1 2024) with real-time student performance forecasting</w:t>
      </w:r>
      <w:r>
        <w:t xml:space="preserve"> </w:t>
      </w:r>
      <w:r>
        <w:t xml:space="preserve">2. Establishing an Osaka-based Innovation Lab co-developed with Education Administrators</w:t>
      </w:r>
      <w:r>
        <w:t xml:space="preserve"> </w:t>
      </w:r>
      <w:r>
        <w:t xml:space="preserve">3. Targeting the growing international school segment (67 new institutions projected in Osaka by 2025)</w:t>
      </w:r>
    </w:p>
    <w:bookmarkEnd w:id="30"/>
    <w:bookmarkStart w:id="31" w:name="vii.-conclusion"/>
    <w:p>
      <w:pPr>
        <w:pStyle w:val="Heading2"/>
      </w:pPr>
      <w:r>
        <w:t xml:space="preserve">VII. Conclusion</w:t>
      </w:r>
    </w:p>
    <w:p>
      <w:pPr>
        <w:pStyle w:val="FirstParagraph"/>
      </w:pPr>
      <w:r>
        <w:t xml:space="preserve">This Sales Report confirms that our specialized focus on Education Administrator needs within Japan Osaka has generated exceptional results, with revenue growth outperforming all other regional markets. The success stems from deep cultural understanding, regulatory expertise, and solutions co-created with Osaka's educational leadership. As we continue to refine our approach for Japan Osaka's unique ecosystem, we project sustained double-digit growth through 2024. Our commitment to supporting Education Administrators in navigating Osaka's evolving educational landscape remains central to our strategy.</w:t>
      </w:r>
    </w:p>
    <w:p>
      <w:pPr>
        <w:pStyle w:val="BodyText"/>
      </w:pPr>
      <w:r>
        <w:t xml:space="preserve">Recommendation: Allocate 15% of Q1 2024 R&amp;D budget toward Osaka-specific features, and expand the Japan Osaka education sales team by 35% to capitalize on projected market expansion. This investment will further solidify our position as the preferred partner for Education Administrators across Japan's most dynamic educational market.</w:t>
      </w:r>
    </w:p>
    <w:p>
      <w:pPr>
        <w:pStyle w:val="BodyText"/>
      </w:pPr>
      <w:r>
        <w:rPr>
          <w:bCs/>
          <w:b/>
        </w:rPr>
        <w:t xml:space="preserve">Appendix:</w:t>
      </w:r>
      <w:r>
        <w:t xml:space="preserve"> </w:t>
      </w:r>
      <w:r>
        <w:t xml:space="preserve">Detailed case studies available upon request, including breakdown of sales performance by Osaka district (Osaka City, Suita, Higashiosaka). All metrics verified by Tokyo-based audit team and Osaka Education Bureau records.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Administrator Sales Report: Japan Osaka Market</dc:title>
  <dc:creator/>
  <dc:language>en</dc:language>
  <cp:keywords/>
  <dcterms:created xsi:type="dcterms:W3CDTF">2026-07-23T19:13:59Z</dcterms:created>
  <dcterms:modified xsi:type="dcterms:W3CDTF">2026-07-23T19:13:59Z</dcterms:modified>
</cp:coreProperties>
</file>

<file path=docProps/custom.xml><?xml version="1.0" encoding="utf-8"?>
<Properties xmlns="http://schemas.openxmlformats.org/officeDocument/2006/custom-properties" xmlns:vt="http://schemas.openxmlformats.org/officeDocument/2006/docPropsVTypes"/>
</file>