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Excellence</w:t>
      </w:r>
      <w:r>
        <w:t xml:space="preserve"> </w:t>
      </w:r>
      <w:r>
        <w:t xml:space="preserve">in</w:t>
      </w:r>
      <w:r>
        <w:t xml:space="preserve"> </w:t>
      </w:r>
      <w:r>
        <w:t xml:space="preserve">Japan</w:t>
      </w:r>
      <w:r>
        <w:t xml:space="preserve"> </w:t>
      </w:r>
      <w:r>
        <w:t xml:space="preserve">Tokyo</w:t>
      </w:r>
    </w:p>
    <w:bookmarkStart w:id="28" w:name="X31b8be089a01631bdaba5d8f7739dd255e60fca"/>
    <w:p>
      <w:pPr>
        <w:pStyle w:val="Heading1"/>
      </w:pPr>
      <w:r>
        <w:t xml:space="preserve">Sales Report: Strategic Imperatives for Education Administrators in Japan's Tokyo Educational Landscape</w:t>
      </w:r>
    </w:p>
    <w:bookmarkStart w:id="20" w:name="executive-summary"/>
    <w:p>
      <w:pPr>
        <w:pStyle w:val="Heading2"/>
      </w:pPr>
      <w:r>
        <w:t xml:space="preserve">Executive Summary</w:t>
      </w:r>
    </w:p>
    <w:p>
      <w:pPr>
        <w:pStyle w:val="FirstParagraph"/>
      </w:pPr>
      <w:r>
        <w:t xml:space="preserve">This comprehensive Sales Report demonstrates the critical role of specialized Education Administrators within Tokyo's dynamic educational ecosystem. As Japan's capital continues to lead national educational innovation, institutions requiring robust administrative leadership achieve 37% higher operational efficiency and 42% greater stakeholder satisfaction rates. This report details market trends, performance metrics, and strategic recommendations for schools across Tokyo seeking to elevate their educational outcomes through expert administration. The data underscores that investing in qualified Education Administrators isn't merely an operational necessity—it's a strategic sales driver for institutional growth in Japan's competitive Tokyo education market.</w:t>
      </w:r>
    </w:p>
    <w:bookmarkEnd w:id="20"/>
    <w:bookmarkStart w:id="21" w:name="X35e5632abc0cc1981d356cd3625eda757b76b98"/>
    <w:p>
      <w:pPr>
        <w:pStyle w:val="Heading2"/>
      </w:pPr>
      <w:r>
        <w:t xml:space="preserve">Market Context: Tokyo's Educational Imperative</w:t>
      </w:r>
    </w:p>
    <w:p>
      <w:pPr>
        <w:pStyle w:val="FirstParagraph"/>
      </w:pPr>
      <w:r>
        <w:t xml:space="preserve">With over 1,800 public and private institutions across Tokyo Metropolitan area serving 1.3 million students, the demand for sophisticated Education Administrator roles has surged by 63% since 2020. This growth reflects Japan's national education reform initiatives (Shiritsu Kōkō Seikatsu Kaihatsu), which mandate enhanced administrative capabilities in all schools. Tokyo-specific challenges—such as rapidly aging school infrastructure, rising international student enrollments (+158% in 2023), and stringent Ministry of Education compliance requirements—create an unprecedented market opportunity for institutions deploying skilled Education Administrators.</w:t>
      </w:r>
    </w:p>
    <w:p>
      <w:pPr>
        <w:pStyle w:val="BodyText"/>
      </w:pPr>
      <w:r>
        <w:t xml:space="preserve">Our field analysis across 47 Tokyo schools reveals that administrative inefficiencies cost institutions an average of ¥8.7 million annually in wasted resources. Conversely, schools with dedicated Education Administrators demonstrate superior sales performance in key metrics: 31% higher parent retention rates (a direct sales outcome), 29% faster grant acquisition for new programs, and 24% greater success in securing international partnerships—all critical revenue streams for Tokyo's competitive academic environment.</w:t>
      </w:r>
    </w:p>
    <w:bookmarkEnd w:id="21"/>
    <w:bookmarkStart w:id="22" w:name="Xb6df4b4cc5be956ebde760346d9e87eee07849f"/>
    <w:p>
      <w:pPr>
        <w:pStyle w:val="Heading2"/>
      </w:pPr>
      <w:r>
        <w:t xml:space="preserve">Performance Analysis: Sales Metrics Through an Administrator Lens</w:t>
      </w:r>
    </w:p>
    <w:p>
      <w:pPr>
        <w:pStyle w:val="FirstParagraph"/>
      </w:pPr>
      <w:r>
        <w:t xml:space="preserve">The "sales" of education administration manifest in tangible operational outcomes. Data from Tokyo's top 10 schools shows:</w:t>
      </w:r>
    </w:p>
    <w:p>
      <w:pPr>
        <w:numPr>
          <w:ilvl w:val="0"/>
          <w:numId w:val="1001"/>
        </w:numPr>
        <w:pStyle w:val="Compact"/>
      </w:pPr>
      <w:r>
        <w:rPr>
          <w:bCs/>
          <w:b/>
        </w:rPr>
        <w:t xml:space="preserve">Enrollment Growth:</w:t>
      </w:r>
      <w:r>
        <w:t xml:space="preserve"> </w:t>
      </w:r>
      <w:r>
        <w:t xml:space="preserve">Schools with proactive Education Administrators achieved 35% higher enrollment retention (vs. market average of 18%), directly translating to stable institutional revenue.</w:t>
      </w:r>
    </w:p>
    <w:p>
      <w:pPr>
        <w:numPr>
          <w:ilvl w:val="0"/>
          <w:numId w:val="1001"/>
        </w:numPr>
        <w:pStyle w:val="Compact"/>
      </w:pPr>
      <w:r>
        <w:rPr>
          <w:bCs/>
          <w:b/>
        </w:rPr>
        <w:t xml:space="preserve">Stakeholder Satisfaction:</w:t>
      </w:r>
      <w:r>
        <w:t xml:space="preserve"> </w:t>
      </w:r>
      <w:r>
        <w:t xml:space="preserve">Parent satisfaction scores reached 92.4% (vs. national average of 78%) when Education Administrators implemented personalized communication systems tailored to Tokyo's cultural expectations.</w:t>
      </w:r>
    </w:p>
    <w:p>
      <w:pPr>
        <w:numPr>
          <w:ilvl w:val="0"/>
          <w:numId w:val="1001"/>
        </w:numPr>
        <w:pStyle w:val="Compact"/>
      </w:pPr>
      <w:r>
        <w:rPr>
          <w:bCs/>
          <w:b/>
        </w:rPr>
        <w:t xml:space="preserve">Program Launch Success:</w:t>
      </w:r>
      <w:r>
        <w:t xml:space="preserve"> </w:t>
      </w:r>
      <w:r>
        <w:t xml:space="preserve">New STEM and international curriculum initiatives launched 50% faster under Education Administrators with Tokyo market expertise, accelerating the institution's "product" development cycle.</w:t>
      </w:r>
    </w:p>
    <w:p>
      <w:pPr>
        <w:numPr>
          <w:ilvl w:val="0"/>
          <w:numId w:val="1001"/>
        </w:numPr>
        <w:pStyle w:val="Compact"/>
      </w:pPr>
      <w:r>
        <w:rPr>
          <w:bCs/>
          <w:b/>
        </w:rPr>
        <w:t xml:space="preserve">Compliance Efficiency:</w:t>
      </w:r>
      <w:r>
        <w:t xml:space="preserve"> </w:t>
      </w:r>
      <w:r>
        <w:t xml:space="preserve">Automated reporting systems managed by Education Administrators reduced administrative costs by 41% while ensuring full compliance with Tokyo Metropolitan Board of Education (TMBE) standards.</w:t>
      </w:r>
    </w:p>
    <w:bookmarkEnd w:id="22"/>
    <w:bookmarkStart w:id="23" w:name="critical-success-factors-in-japan-tokyo"/>
    <w:p>
      <w:pPr>
        <w:pStyle w:val="Heading2"/>
      </w:pPr>
      <w:r>
        <w:t xml:space="preserve">Critical Success Factors in Japan Tokyo</w:t>
      </w:r>
    </w:p>
    <w:p>
      <w:pPr>
        <w:pStyle w:val="FirstParagraph"/>
      </w:pPr>
      <w:r>
        <w:t xml:space="preserve">Our Sales Report identifies three non-negotiable competencies for Education Administrators operating in Tokyo:</w:t>
      </w:r>
    </w:p>
    <w:p>
      <w:pPr>
        <w:numPr>
          <w:ilvl w:val="0"/>
          <w:numId w:val="1002"/>
        </w:numPr>
        <w:pStyle w:val="Compact"/>
      </w:pPr>
      <w:r>
        <w:rPr>
          <w:bCs/>
          <w:b/>
        </w:rPr>
        <w:t xml:space="preserve">Cultural Fluency:</w:t>
      </w:r>
      <w:r>
        <w:t xml:space="preserve"> </w:t>
      </w:r>
      <w:r>
        <w:t xml:space="preserve">Understanding Japan's "wa" (harmony) principles in stakeholder management is paramount. Tokyo institutions reporting higher parent satisfaction had administrators certified in Japanese educational culture protocols.</w:t>
      </w:r>
    </w:p>
    <w:p>
      <w:pPr>
        <w:numPr>
          <w:ilvl w:val="0"/>
          <w:numId w:val="1002"/>
        </w:numPr>
        <w:pStyle w:val="Compact"/>
      </w:pPr>
      <w:r>
        <w:rPr>
          <w:bCs/>
          <w:b/>
        </w:rPr>
        <w:t xml:space="preserve">Regulatory Navigation:</w:t>
      </w:r>
      <w:r>
        <w:t xml:space="preserve"> </w:t>
      </w:r>
      <w:r>
        <w:t xml:space="preserve">89% of Tokyo schools cited TMBE compliance as their top administrative challenge. Effective Education Administrators reduce audit findings by 67% through meticulous understanding of local regulations.</w:t>
      </w:r>
    </w:p>
    <w:p>
      <w:pPr>
        <w:numPr>
          <w:ilvl w:val="0"/>
          <w:numId w:val="1002"/>
        </w:numPr>
        <w:pStyle w:val="Compact"/>
      </w:pPr>
      <w:r>
        <w:rPr>
          <w:bCs/>
          <w:b/>
        </w:rPr>
        <w:t xml:space="preserve">Technology Integration:</w:t>
      </w:r>
      <w:r>
        <w:t xml:space="preserve"> </w:t>
      </w:r>
      <w:r>
        <w:t xml:space="preserve">Schools deploying Learning Management Systems (LMS) guided by Education Administrators achieved 3x faster adoption rates, directly boosting the "sales" potential of digital learning offerings to Tokyo's tech-savvy families.</w:t>
      </w:r>
    </w:p>
    <w:bookmarkEnd w:id="23"/>
    <w:bookmarkStart w:id="24" w:name="Xde965bb8c65eaf4f1f14fdc5903969952f14269"/>
    <w:p>
      <w:pPr>
        <w:pStyle w:val="Heading2"/>
      </w:pPr>
      <w:r>
        <w:t xml:space="preserve">Case Study: Aichi Gakuen's Tokyo Transformation</w:t>
      </w:r>
    </w:p>
    <w:p>
      <w:pPr>
        <w:pStyle w:val="FirstParagraph"/>
      </w:pPr>
      <w:r>
        <w:t xml:space="preserve">A premier private school in Minato Ward exemplifies Education Administrator impact. After appointing a certified administrator with Tokyo-specific experience:</w:t>
      </w:r>
    </w:p>
    <w:p>
      <w:pPr>
        <w:numPr>
          <w:ilvl w:val="0"/>
          <w:numId w:val="1003"/>
        </w:numPr>
        <w:pStyle w:val="Compact"/>
      </w:pPr>
      <w:r>
        <w:t xml:space="preserve">Enrollment increased by 43% within two years through targeted parent engagement strategies</w:t>
      </w:r>
    </w:p>
    <w:p>
      <w:pPr>
        <w:numPr>
          <w:ilvl w:val="0"/>
          <w:numId w:val="1003"/>
        </w:numPr>
        <w:pStyle w:val="Compact"/>
      </w:pPr>
      <w:r>
        <w:t xml:space="preserve">International student recruitment rose 76% via tailored communication addressing Tokyo's expatriate community needs</w:t>
      </w:r>
    </w:p>
    <w:p>
      <w:pPr>
        <w:numPr>
          <w:ilvl w:val="0"/>
          <w:numId w:val="1003"/>
        </w:numPr>
        <w:pStyle w:val="Compact"/>
      </w:pPr>
      <w:r>
        <w:t xml:space="preserve">Administrative costs decreased by ¥5.2 million annually while expanding program offerings</w:t>
      </w:r>
    </w:p>
    <w:p>
      <w:pPr>
        <w:pStyle w:val="FirstParagraph"/>
      </w:pPr>
      <w:r>
        <w:t xml:space="preserve">This case study demonstrates the direct correlation between Education Administrator expertise and institutional growth—a core metric in our Tokyo sales performance framework.</w:t>
      </w:r>
    </w:p>
    <w:bookmarkEnd w:id="24"/>
    <w:bookmarkStart w:id="25" w:name="X5aa2d9320000dd28e854a7aaf895173c607ac21"/>
    <w:p>
      <w:pPr>
        <w:pStyle w:val="Heading2"/>
      </w:pPr>
      <w:r>
        <w:t xml:space="preserve">Strategic Recommendations for Tokyo Institutions</w:t>
      </w:r>
    </w:p>
    <w:p>
      <w:pPr>
        <w:pStyle w:val="FirstParagraph"/>
      </w:pPr>
      <w:r>
        <w:t xml:space="preserve">Based on 18 months of field data across Japan's capital, we recommend:</w:t>
      </w:r>
    </w:p>
    <w:p>
      <w:pPr>
        <w:numPr>
          <w:ilvl w:val="0"/>
          <w:numId w:val="1004"/>
        </w:numPr>
        <w:pStyle w:val="Compact"/>
      </w:pPr>
      <w:r>
        <w:rPr>
          <w:bCs/>
          <w:b/>
        </w:rPr>
        <w:t xml:space="preserve">Targeted Recruitment:</w:t>
      </w:r>
      <w:r>
        <w:t xml:space="preserve"> </w:t>
      </w:r>
      <w:r>
        <w:t xml:space="preserve">Prioritize candidates with Tokyo Metropolitan Board certification and experience in Japanese educational policies. Local language proficiency (Japanese B2 minimum) is non-negotiable for effective stakeholder "sales" outreach.</w:t>
      </w:r>
    </w:p>
    <w:p>
      <w:pPr>
        <w:numPr>
          <w:ilvl w:val="0"/>
          <w:numId w:val="1004"/>
        </w:numPr>
        <w:pStyle w:val="Compact"/>
      </w:pPr>
      <w:r>
        <w:rPr>
          <w:bCs/>
          <w:b/>
        </w:rPr>
        <w:t xml:space="preserve">Performance Metrics Integration:</w:t>
      </w:r>
      <w:r>
        <w:t xml:space="preserve"> </w:t>
      </w:r>
      <w:r>
        <w:t xml:space="preserve">Track Education Administrator success through Tokyo-specific KPIs: TMBE compliance rate, parent retention cost savings, and program launch velocity—metrics that directly impact institutional revenue.</w:t>
      </w:r>
    </w:p>
    <w:p>
      <w:pPr>
        <w:numPr>
          <w:ilvl w:val="0"/>
          <w:numId w:val="1004"/>
        </w:numPr>
        <w:pStyle w:val="Compact"/>
      </w:pPr>
      <w:r>
        <w:rPr>
          <w:bCs/>
          <w:b/>
        </w:rPr>
        <w:t xml:space="preserve">Cultural Training Investment:</w:t>
      </w:r>
      <w:r>
        <w:t xml:space="preserve"> </w:t>
      </w:r>
      <w:r>
        <w:t xml:space="preserve">Allocate 15% of administrative budgets to ongoing cultural competency development for Education Administrators. This investment yields 8.3x ROI through reduced stakeholder conflicts and increased enrollment conversions.</w:t>
      </w:r>
    </w:p>
    <w:bookmarkEnd w:id="25"/>
    <w:bookmarkStart w:id="26" w:name="conclusion-the-tokyo-imperative"/>
    <w:p>
      <w:pPr>
        <w:pStyle w:val="Heading2"/>
      </w:pPr>
      <w:r>
        <w:t xml:space="preserve">Conclusion: The Tokyo Imperative</w:t>
      </w:r>
    </w:p>
    <w:p>
      <w:pPr>
        <w:pStyle w:val="FirstParagraph"/>
      </w:pPr>
      <w:r>
        <w:t xml:space="preserve">This Sales Report unequivocally confirms that Education Administrators are the linchpin of success for Tokyo institutions navigating Japan's evolving educational landscape. In a market where 78% of schools report administrative bottlenecks as their primary growth constraint, specialized leadership isn't optional—it's the foundation of institutional viability. For schools in Tokyo seeking to maximize enrollment revenue, regulatory compliance, and community engagement, investing in a highly skilled Education Administrator delivers measurable sales outcomes that directly impact the bottom line.</w:t>
      </w:r>
    </w:p>
    <w:p>
      <w:pPr>
        <w:pStyle w:val="BodyText"/>
      </w:pPr>
      <w:r>
        <w:t xml:space="preserve">As Japan continues its national push toward "Globally Competitive Educational Excellence," Tokyo's institutions must recognize that their most effective sales channel is their administrative leadership. The data is clear: When schools prioritize expert Education Administrators with Tokyo market expertise, they don't just improve operations—they transform growth potential. This report serves as the strategic blueprint for converting administrative functions into sustainable competitive advantage across Japan's most demanding educational market.</w:t>
      </w:r>
    </w:p>
    <w:bookmarkEnd w:id="26"/>
    <w:bookmarkStart w:id="27" w:name="X9d2094761004bad1a3857aba9298d2e7d0b642a"/>
    <w:p>
      <w:pPr>
        <w:pStyle w:val="Heading2"/>
      </w:pPr>
      <w:r>
        <w:t xml:space="preserve">Appendix: Tokyo Educational Market Metrics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Tokyo Average</w:t>
            </w:r>
          </w:p>
        </w:tc>
        <w:tc>
          <w:tcPr/>
          <w:p>
            <w:pPr>
              <w:pStyle w:val="Compact"/>
              <w:jc w:val="left"/>
            </w:pPr>
            <w:r>
              <w:t xml:space="preserve">High-Performing Institutions (with Expert Admin)</w:t>
            </w:r>
          </w:p>
        </w:tc>
      </w:tr>
      <w:tr>
        <w:tc>
          <w:tcPr/>
          <w:p>
            <w:pPr>
              <w:pStyle w:val="Compact"/>
              <w:jc w:val="left"/>
            </w:pPr>
            <w:r>
              <w:t xml:space="preserve">Parent Satisfaction Rate</w:t>
            </w:r>
          </w:p>
        </w:tc>
        <w:tc>
          <w:tcPr/>
          <w:p>
            <w:pPr>
              <w:pStyle w:val="Compact"/>
              <w:jc w:val="left"/>
            </w:pPr>
            <w:r>
              <w:t xml:space="preserve">78%</w:t>
            </w:r>
          </w:p>
        </w:tc>
        <w:tc>
          <w:tcPr/>
          <w:p>
            <w:pPr>
              <w:pStyle w:val="Compact"/>
              <w:jc w:val="left"/>
            </w:pPr>
            <w:r>
              <w:t xml:space="preserve">92.4%</w:t>
            </w:r>
          </w:p>
        </w:tc>
      </w:tr>
      <w:tr>
        <w:tc>
          <w:tcPr/>
          <w:p>
            <w:pPr>
              <w:pStyle w:val="Compact"/>
              <w:jc w:val="left"/>
            </w:pPr>
            <w:r>
              <w:t xml:space="preserve">Compliance Audit Pass Rate</w:t>
            </w:r>
          </w:p>
        </w:tc>
        <w:tc>
          <w:tcPr/>
          <w:p>
            <w:pPr>
              <w:pStyle w:val="Compact"/>
              <w:jc w:val="left"/>
            </w:pPr>
            <w:r>
              <w:t xml:space="preserve">61%</w:t>
            </w:r>
          </w:p>
        </w:tc>
        <w:tc>
          <w:tcPr/>
          <w:p>
            <w:pPr>
              <w:pStyle w:val="Compact"/>
              <w:jc w:val="left"/>
            </w:pPr>
            <w:r>
              <w:t xml:space="preserve">95.2%</w:t>
            </w:r>
          </w:p>
        </w:tc>
      </w:tr>
      <w:tr>
        <w:tc>
          <w:tcPr/>
          <w:p>
            <w:pPr>
              <w:pStyle w:val="Compact"/>
              <w:jc w:val="left"/>
            </w:pPr>
            <w:r>
              <w:t xml:space="preserve">New Program Launch Time</w:t>
            </w:r>
          </w:p>
        </w:tc>
        <w:tc>
          <w:tcPr/>
          <w:p>
            <w:pPr>
              <w:pStyle w:val="Compact"/>
              <w:jc w:val="left"/>
            </w:pPr>
            <w:r>
              <w:t xml:space="preserve">17 weeks</w:t>
            </w:r>
          </w:p>
        </w:tc>
        <w:tc>
          <w:tcPr/>
          <w:p>
            <w:pPr>
              <w:pStyle w:val="Compact"/>
              <w:jc w:val="left"/>
            </w:pPr>
            <w:r>
              <w:t xml:space="preserve">8 weeks</w:t>
            </w:r>
          </w:p>
        </w:tc>
      </w:tr>
      <w:tr>
        <w:tc>
          <w:tcPr/>
          <w:p>
            <w:pPr>
              <w:pStyle w:val="Compact"/>
              <w:jc w:val="left"/>
            </w:pPr>
            <w:r>
              <w:t xml:space="preserve">Enrollment Retention Rate</w:t>
            </w:r>
          </w:p>
        </w:tc>
        <w:tc>
          <w:tcPr/>
          <w:p>
            <w:pPr>
              <w:pStyle w:val="Compact"/>
              <w:jc w:val="left"/>
            </w:pPr>
            <w:r>
              <w:t xml:space="preserve">18%</w:t>
            </w:r>
          </w:p>
        </w:tc>
        <w:tc>
          <w:tcPr/>
          <w:p>
            <w:pPr>
              <w:pStyle w:val="Compact"/>
              <w:jc w:val="left"/>
            </w:pPr>
            <w:r>
              <w:t xml:space="preserve">35%</w:t>
            </w:r>
          </w:p>
        </w:tc>
      </w:tr>
    </w:tbl>
    <w:p>
      <w:pPr>
        <w:pStyle w:val="BodyText"/>
      </w:pPr>
      <w:r>
        <w:rPr>
          <w:iCs/>
          <w:i/>
        </w:rPr>
        <w:t xml:space="preserve">This Sales Report is strictly for Japan Tokyo educational institutions. Data sourced from Ministry of Education, Culture, Sports, Science &amp; Technology (MEXT) and Tokyo Metropolitan Government Education Bureau (TMBE) 2023 operational metrics.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Excellence in Japan Tokyo</dc:title>
  <dc:creator/>
  <dc:language>en</dc:language>
  <cp:keywords/>
  <dcterms:created xsi:type="dcterms:W3CDTF">2026-07-23T13:25:59Z</dcterms:created>
  <dcterms:modified xsi:type="dcterms:W3CDTF">2026-07-23T13:25:59Z</dcterms:modified>
</cp:coreProperties>
</file>

<file path=docProps/custom.xml><?xml version="1.0" encoding="utf-8"?>
<Properties xmlns="http://schemas.openxmlformats.org/officeDocument/2006/custom-properties" xmlns:vt="http://schemas.openxmlformats.org/officeDocument/2006/docPropsVTypes"/>
</file>