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9" w:name="X6723e0fd321f16a388f50a7ea982e816863c90f"/>
    <w:p>
      <w:pPr>
        <w:pStyle w:val="Heading1"/>
      </w:pPr>
      <w:r>
        <w:t xml:space="preserve">Sales Report: Comprehensive Performance Analysis of Education Administrator in Kazakhstan Almaty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dynamics, and strategic outcomes achieved by our dedicated Education Administrator operating within the Kazakhstan Almaty education sector. The report details a remarkable 37% year-over-year revenue growth for our educational technology solutions in Almaty, driven by the exceptional market intelligence and client relationship management executed by our Education Administrator. This document serves as a critical roadmap for scaling our market presence across Kazakhstan's premier educational hub.</w:t>
      </w:r>
    </w:p>
    <w:bookmarkEnd w:id="20"/>
    <w:bookmarkStart w:id="21" w:name="X2f54aeff78eaad00b84bc51939a2bab30a74bca"/>
    <w:p>
      <w:pPr>
        <w:pStyle w:val="Heading2"/>
      </w:pPr>
      <w:r>
        <w:t xml:space="preserve">Performance Overview: Key Metrics in Kazakhstan Almaty</w:t>
      </w:r>
    </w:p>
    <w:p>
      <w:pPr>
        <w:pStyle w:val="FirstParagraph"/>
      </w:pPr>
      <w:r>
        <w:t xml:space="preserve">The Education Administrator based in Almaty has demonstrated outstanding proficiency in navigating the complex Kazakhstani education landscape. As of Q3 2023, our regional sales performance shows:</w:t>
      </w:r>
    </w:p>
    <w:p>
      <w:pPr>
        <w:numPr>
          <w:ilvl w:val="0"/>
          <w:numId w:val="1001"/>
        </w:numPr>
        <w:pStyle w:val="Compact"/>
      </w:pPr>
      <w:r>
        <w:rPr>
          <w:bCs/>
          <w:b/>
        </w:rPr>
        <w:t xml:space="preserve">Revenue Growth:</w:t>
      </w:r>
      <w:r>
        <w:t xml:space="preserve"> </w:t>
      </w:r>
      <w:r>
        <w:t xml:space="preserve">$1.85M generated (37% increase from previous year), representing 68% of total Kazakhstan revenue</w:t>
      </w:r>
    </w:p>
    <w:p>
      <w:pPr>
        <w:numPr>
          <w:ilvl w:val="0"/>
          <w:numId w:val="1001"/>
        </w:numPr>
        <w:pStyle w:val="Compact"/>
      </w:pPr>
      <w:r>
        <w:rPr>
          <w:bCs/>
          <w:b/>
        </w:rPr>
        <w:t xml:space="preserve">New Client Acquisition:</w:t>
      </w:r>
      <w:r>
        <w:t xml:space="preserve"> </w:t>
      </w:r>
      <w:r>
        <w:t xml:space="preserve">22 new partnerships with Almaty-based institutions including Nazarbayev Intellectual Schools, KIMEP University, and 14 public schools in Almaty city district</w:t>
      </w:r>
    </w:p>
    <w:p>
      <w:pPr>
        <w:numPr>
          <w:ilvl w:val="0"/>
          <w:numId w:val="1001"/>
        </w:numPr>
        <w:pStyle w:val="Compact"/>
      </w:pPr>
      <w:r>
        <w:t xml:space="preserve">94% (exceeding global benchmark of 85%) through tailored solution implementations</w:t>
      </w:r>
    </w:p>
    <w:p>
      <w:pPr>
        <w:numPr>
          <w:ilvl w:val="0"/>
          <w:numId w:val="1001"/>
        </w:numPr>
        <w:pStyle w:val="Compact"/>
      </w:pPr>
      <w:r>
        <w:rPr>
          <w:bCs/>
          <w:b/>
        </w:rPr>
        <w:t xml:space="preserve">Market Penetration:</w:t>
      </w:r>
      <w:r>
        <w:t xml:space="preserve"> </w:t>
      </w:r>
      <w:r>
        <w:t xml:space="preserve">Increased from 12% to 31% in Almaty's K-12 private education segment within one fiscal year</w:t>
      </w:r>
    </w:p>
    <w:bookmarkEnd w:id="21"/>
    <w:bookmarkStart w:id="25" w:name="X8f7aaa73f9b2015de46bf245143910d736f2aa8"/>
    <w:p>
      <w:pPr>
        <w:pStyle w:val="Heading2"/>
      </w:pPr>
      <w:r>
        <w:t xml:space="preserve">Market Analysis: Education Sector Dynamics in Kazakhstan Almaty</w:t>
      </w:r>
    </w:p>
    <w:p>
      <w:pPr>
        <w:pStyle w:val="FirstParagraph"/>
      </w:pPr>
      <w:r>
        <w:t xml:space="preserve">Almaty remains the epicenter of educational innovation in Kazakhstan, with 43% of national educational technology investments concentrated here. Our Education Administrator conducted extensive market intelligence that revealed critical trends:</w:t>
      </w:r>
    </w:p>
    <w:bookmarkStart w:id="22" w:name="government-initiatives-driving-demand"/>
    <w:p>
      <w:pPr>
        <w:pStyle w:val="Heading3"/>
      </w:pPr>
      <w:r>
        <w:t xml:space="preserve">Government Initiatives Driving Demand</w:t>
      </w:r>
    </w:p>
    <w:p>
      <w:pPr>
        <w:pStyle w:val="FirstParagraph"/>
      </w:pPr>
      <w:r>
        <w:t xml:space="preserve">Kazakhstan's "Digital Transformation Strategy 2025" mandates AI-integrated learning systems in all public schools by 2026. The Education Administrator proactively aligned our SaaS platform with this national agenda, resulting in three major government contracts worth $750K. This strategic positioning has positioned us as the preferred vendor for Almaty's education department.</w:t>
      </w:r>
    </w:p>
    <w:bookmarkEnd w:id="22"/>
    <w:bookmarkStart w:id="23" w:name="private-school-expansion-in-almaty"/>
    <w:p>
      <w:pPr>
        <w:pStyle w:val="Heading3"/>
      </w:pPr>
      <w:r>
        <w:t xml:space="preserve">Private School Expansion in Almaty</w:t>
      </w:r>
    </w:p>
    <w:p>
      <w:pPr>
        <w:pStyle w:val="FirstParagraph"/>
      </w:pPr>
      <w:r>
        <w:t xml:space="preserve">The Education Administrator identified a 28% year-over-year growth in private educational institutions within Almaty city limits. By implementing localized onboarding programs and Kazakh-language support modules, we secured partnerships with 15 new premium schools including International School of Almaty and Atyrau American School (Almaty branch). This accounts for 42% of our total Almaty revenue growth.</w:t>
      </w:r>
    </w:p>
    <w:bookmarkEnd w:id="23"/>
    <w:bookmarkStart w:id="24" w:name="cultural-nuances-in-sales-approach"/>
    <w:p>
      <w:pPr>
        <w:pStyle w:val="Heading3"/>
      </w:pPr>
      <w:r>
        <w:t xml:space="preserve">Cultural Nuances in Sales Approach</w:t>
      </w:r>
    </w:p>
    <w:p>
      <w:pPr>
        <w:pStyle w:val="FirstParagraph"/>
      </w:pPr>
      <w:r>
        <w:t xml:space="preserve">Key to our success was the Education Administrator's understanding of Kazakh educational culture. By incorporating traditional "kairat" (respect) protocols in client interactions and adapting sales materials with local cultural references, we achieved 27% higher conversion rates compared to regional competitors. The administrator regularly attends Almaty education conferences such as "EduTech Kazakhstan" to maintain market relevance.</w:t>
      </w:r>
    </w:p>
    <w:bookmarkEnd w:id="24"/>
    <w:bookmarkEnd w:id="25"/>
    <w:bookmarkStart w:id="26" w:name="strategic-challenges-overcome"/>
    <w:p>
      <w:pPr>
        <w:pStyle w:val="Heading2"/>
      </w:pPr>
      <w:r>
        <w:t xml:space="preserve">Strategic Challenges Overcome</w:t>
      </w:r>
    </w:p>
    <w:p>
      <w:pPr>
        <w:pStyle w:val="FirstParagraph"/>
      </w:pPr>
      <w:r>
        <w:t xml:space="preserve">The Education Administrator navigated significant obstacles specific to the Kazakhstan Almaty market:</w:t>
      </w:r>
    </w:p>
    <w:p>
      <w:pPr>
        <w:numPr>
          <w:ilvl w:val="0"/>
          <w:numId w:val="1002"/>
        </w:numPr>
        <w:pStyle w:val="Compact"/>
      </w:pPr>
      <w:r>
        <w:rPr>
          <w:bCs/>
          <w:b/>
        </w:rPr>
        <w:t xml:space="preserve">Regulatory Complexity:</w:t>
      </w:r>
      <w:r>
        <w:t xml:space="preserve"> </w:t>
      </w:r>
      <w:r>
        <w:t xml:space="preserve">Navigated Kazakh education ministry certification requirements through partnership with local compliance firm "EduReg Kazakhstan," shortening approval timelines by 45%</w:t>
      </w:r>
    </w:p>
    <w:p>
      <w:pPr>
        <w:numPr>
          <w:ilvl w:val="0"/>
          <w:numId w:val="1002"/>
        </w:numPr>
        <w:pStyle w:val="Compact"/>
      </w:pPr>
      <w:r>
        <w:rPr>
          <w:bCs/>
          <w:b/>
        </w:rPr>
        <w:t xml:space="preserve">Currency Volatility:</w:t>
      </w:r>
      <w:r>
        <w:t xml:space="preserve"> </w:t>
      </w:r>
      <w:r>
        <w:t xml:space="preserve">Mitigated 15% USD/KZT fluctuation impact by implementing fixed-price contracts in tenge for Almaty schools</w:t>
      </w:r>
    </w:p>
    <w:p>
      <w:pPr>
        <w:numPr>
          <w:ilvl w:val="0"/>
          <w:numId w:val="1002"/>
        </w:numPr>
        <w:pStyle w:val="Compact"/>
      </w:pPr>
      <w:r>
        <w:rPr>
          <w:bCs/>
          <w:b/>
        </w:rPr>
        <w:t xml:space="preserve">Competitive Landscape:</w:t>
      </w:r>
      <w:r>
        <w:t xml:space="preserve"> </w:t>
      </w:r>
      <w:r>
        <w:t xml:space="preserve">Differentiated from Russian and Turkish vendors through localized content (Kazakh curriculum alignment, Cyrillic interface options)</w:t>
      </w:r>
    </w:p>
    <w:bookmarkEnd w:id="26"/>
    <w:bookmarkStart w:id="27" w:name="future-strategic-recommendations"/>
    <w:p>
      <w:pPr>
        <w:pStyle w:val="Heading2"/>
      </w:pPr>
      <w:r>
        <w:t xml:space="preserve">Future Strategic Recommendations</w:t>
      </w:r>
    </w:p>
    <w:p>
      <w:pPr>
        <w:pStyle w:val="FirstParagraph"/>
      </w:pPr>
      <w:r>
        <w:t xml:space="preserve">Based on Q3 2023 data, we recommend the following actions for sustained growth in Kazakhstan Almaty:</w:t>
      </w:r>
    </w:p>
    <w:p>
      <w:pPr>
        <w:numPr>
          <w:ilvl w:val="0"/>
          <w:numId w:val="1003"/>
        </w:numPr>
        <w:pStyle w:val="Compact"/>
      </w:pPr>
      <w:r>
        <w:rPr>
          <w:bCs/>
          <w:b/>
        </w:rPr>
        <w:t xml:space="preserve">Expand Government Partnerships:</w:t>
      </w:r>
      <w:r>
        <w:t xml:space="preserve"> </w:t>
      </w:r>
      <w:r>
        <w:t xml:space="preserve">Target Almaty city education authority for district-wide implementation. The Education Administrator will lead proposal development for the $1.2M "Almaty Smart School Initiative" pilot</w:t>
      </w:r>
    </w:p>
    <w:p>
      <w:pPr>
        <w:numPr>
          <w:ilvl w:val="0"/>
          <w:numId w:val="1003"/>
        </w:numPr>
        <w:pStyle w:val="Compact"/>
      </w:pPr>
      <w:r>
        <w:rPr>
          <w:bCs/>
          <w:b/>
        </w:rPr>
        <w:t xml:space="preserve">Develop Kazakh Language Suite:</w:t>
      </w:r>
      <w:r>
        <w:t xml:space="preserve"> </w:t>
      </w:r>
      <w:r>
        <w:t xml:space="preserve">Invest in AI-driven translation features to support 80% of school content in Kazakh, addressing a critical client request identified by our Education Administrator</w:t>
      </w:r>
    </w:p>
    <w:p>
      <w:pPr>
        <w:numPr>
          <w:ilvl w:val="0"/>
          <w:numId w:val="1003"/>
        </w:numPr>
        <w:pStyle w:val="Compact"/>
      </w:pPr>
      <w:r>
        <w:rPr>
          <w:bCs/>
          <w:b/>
        </w:rPr>
        <w:t xml:space="preserve">Establish Almaty Innovation Hub:</w:t>
      </w:r>
      <w:r>
        <w:t xml:space="preserve"> </w:t>
      </w:r>
      <w:r>
        <w:t xml:space="preserve">Create local training center at Nazarbayev University campus for product customization and educator workshops</w:t>
      </w:r>
    </w:p>
    <w:p>
      <w:pPr>
        <w:numPr>
          <w:ilvl w:val="0"/>
          <w:numId w:val="1003"/>
        </w:numPr>
        <w:pStyle w:val="Compact"/>
      </w:pPr>
      <w:r>
        <w:rPr>
          <w:bCs/>
          <w:b/>
        </w:rPr>
        <w:t xml:space="preserve">Talent Development Program:</w:t>
      </w:r>
      <w:r>
        <w:t xml:space="preserve"> </w:t>
      </w:r>
      <w:r>
        <w:t xml:space="preserve">Recruit 3 additional Kazakh-speaking sales specialists in Almaty to support regional expansion beyond the city limits</w:t>
      </w:r>
    </w:p>
    <w:bookmarkEnd w:id="27"/>
    <w:bookmarkStart w:id="28" w:name="X14a7bdbae2d26ccfaab8028c02f26890387e5b4"/>
    <w:p>
      <w:pPr>
        <w:pStyle w:val="Heading2"/>
      </w:pPr>
      <w:r>
        <w:t xml:space="preserve">Conclusion: The Catalyst for Market Leadership</w:t>
      </w:r>
    </w:p>
    <w:p>
      <w:pPr>
        <w:pStyle w:val="FirstParagraph"/>
      </w:pPr>
      <w:r>
        <w:t xml:space="preserve">This Sales Report unequivocally demonstrates how strategic market knowledge combined with cultural intelligence—exemplified by our Education Administrator's work in Kazakhstan Almaty—creates sustainable competitive advantage. The 37% revenue growth is not merely a metric; it represents the successful integration of global educational technology solutions within Almaty's unique academic ecosystem.</w:t>
      </w:r>
    </w:p>
    <w:p>
      <w:pPr>
        <w:pStyle w:val="BodyText"/>
      </w:pPr>
      <w:r>
        <w:t xml:space="preserve">The Education Administrator's mastery of local education policies, coupled with proactive relationship building across Kazakhstan's most influential institutions, has positioned us as the market leader. As Kazakhstan continues its educational modernization journey under national strategies, the role of this position is no longer peripheral but absolutely central to our success in Central Asia.</w:t>
      </w:r>
    </w:p>
    <w:p>
      <w:pPr>
        <w:pStyle w:val="BodyText"/>
      </w:pPr>
      <w:r>
        <w:t xml:space="preserve">Looking ahead to Q4 2023, our Education Administrator will focus on securing Almaty's first AI-powered education management system implementation at the city's largest public school network. This landmark project, already in advanced negotiation phase with Almaty City Education Department, has the potential to generate $950K in new revenue and serve as a model for nationwide replication.</w:t>
      </w:r>
    </w:p>
    <w:p>
      <w:pPr>
        <w:pStyle w:val="BodyText"/>
      </w:pPr>
      <w:r>
        <w:t xml:space="preserve">As Kazakhstan accelerates its educational transformation, our team in Almaty will remain at the forefront—where data-driven sales strategies meet authentic understanding of local needs. The performance documented in this Sales Report proves that excellence in education technology sales is fundamentally about people: our dedicated Education Administrator who transforms market potential into measurable success within the vibrant ecosystem of Kazakhstan Almaty.</w:t>
      </w:r>
    </w:p>
    <w:p>
      <w:pPr>
        <w:pStyle w:val="BodyText"/>
      </w:pPr>
      <w:r>
        <w:rPr>
          <w:bCs/>
          <w:b/>
        </w:rPr>
        <w:t xml:space="preserve">Prepared for:</w:t>
      </w:r>
      <w:r>
        <w:t xml:space="preserve"> </w:t>
      </w:r>
      <w:r>
        <w:t xml:space="preserve">Global Executive Committee, Kazakhstan Regional Leadership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Kazakhstan Almaty</dc:title>
  <dc:creator/>
  <dc:language>en</dc:language>
  <cp:keywords/>
  <dcterms:created xsi:type="dcterms:W3CDTF">2025-12-10T14:57:36Z</dcterms:created>
  <dcterms:modified xsi:type="dcterms:W3CDTF">2025-12-10T14:57:36Z</dcterms:modified>
</cp:coreProperties>
</file>

<file path=docProps/custom.xml><?xml version="1.0" encoding="utf-8"?>
<Properties xmlns="http://schemas.openxmlformats.org/officeDocument/2006/custom-properties" xmlns:vt="http://schemas.openxmlformats.org/officeDocument/2006/docPropsVTypes"/>
</file>