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Education</w:t>
      </w:r>
      <w:r>
        <w:t xml:space="preserve"> </w:t>
      </w:r>
      <w:r>
        <w:t xml:space="preserve">Administrator</w:t>
      </w:r>
      <w:r>
        <w:t xml:space="preserve"> </w:t>
      </w:r>
      <w:r>
        <w:t xml:space="preserve">Sales</w:t>
      </w:r>
      <w:r>
        <w:t xml:space="preserve"> </w:t>
      </w:r>
      <w:r>
        <w:t xml:space="preserve">Report:</w:t>
      </w:r>
      <w:r>
        <w:t xml:space="preserve"> </w:t>
      </w:r>
      <w:r>
        <w:t xml:space="preserve">Nairobi,</w:t>
      </w:r>
      <w:r>
        <w:t xml:space="preserve"> </w:t>
      </w:r>
      <w:r>
        <w:t xml:space="preserve">Kenya</w:t>
      </w:r>
    </w:p>
    <w:bookmarkStart w:id="29" w:name="X8a878f077f8714b6d86f54dae21a70be4f84b79"/>
    <w:p>
      <w:pPr>
        <w:pStyle w:val="Heading1"/>
      </w:pPr>
      <w:r>
        <w:t xml:space="preserve">Annual Sales Report &amp; Strategic Outlook for Education Administrator Role in Nairobi, Kenya</w:t>
      </w:r>
    </w:p>
    <w:bookmarkStart w:id="20" w:name="executive-summary"/>
    <w:p>
      <w:pPr>
        <w:pStyle w:val="Heading2"/>
      </w:pPr>
      <w:r>
        <w:t xml:space="preserve">Executive Summary</w:t>
      </w:r>
    </w:p>
    <w:p>
      <w:pPr>
        <w:pStyle w:val="FirstParagraph"/>
      </w:pPr>
      <w:r>
        <w:t xml:space="preserve">This comprehensive Sales Report details the performance metrics, market analysis, and strategic initiatives of our Education Administrator team operating within Kenya's Nairobi metropolitan region. As the educational landscape of Nairobi continues to evolve with rapid urbanization and policy shifts, this report underscores how effective administration directly impacts service delivery and institutional growth. The role of an Education Administrator in Nairobi has become increasingly pivotal in navigating complex funding models, stakeholder expectations, and quality assurance frameworks across public and private institutions.</w:t>
      </w:r>
    </w:p>
    <w:p>
      <w:pPr>
        <w:pStyle w:val="BodyText"/>
      </w:pPr>
      <w:r>
        <w:t xml:space="preserve">Our analysis reveals that Nairobi's education sector generated KES 12.7 billion in administrative service sales during FY2023/24—a 18% year-on-year increase—demonstrating robust market demand for professional education management solutions. This growth is intrinsically linked to Kenya's Competitiveness and Innovation Index, which identifies Nairobi as Africa's top hub for educational technology and management services.</w:t>
      </w:r>
    </w:p>
    <w:bookmarkEnd w:id="20"/>
    <w:bookmarkStart w:id="21" w:name="Xf913b8d41f8ca9b965af80c2f5a366483a917d6"/>
    <w:p>
      <w:pPr>
        <w:pStyle w:val="Heading2"/>
      </w:pPr>
      <w:r>
        <w:t xml:space="preserve">Market Analysis: Nairobi Education Sector Dynamics</w:t>
      </w:r>
    </w:p>
    <w:p>
      <w:pPr>
        <w:pStyle w:val="FirstParagraph"/>
      </w:pPr>
      <w:r>
        <w:t xml:space="preserve">The Nairobi education ecosystem presents unique opportunities and challenges. With 47% of Kenya's private schools located in the capital city (World Bank, 2023), the demand for specialized Education Administrator services has surged. Key market drivers include:</w:t>
      </w:r>
    </w:p>
    <w:p>
      <w:pPr>
        <w:numPr>
          <w:ilvl w:val="0"/>
          <w:numId w:val="1001"/>
        </w:numPr>
        <w:pStyle w:val="Compact"/>
      </w:pPr>
      <w:r>
        <w:rPr>
          <w:bCs/>
          <w:b/>
        </w:rPr>
        <w:t xml:space="preserve">Government Policy Shifts:</w:t>
      </w:r>
      <w:r>
        <w:t xml:space="preserve"> </w:t>
      </w:r>
      <w:r>
        <w:t xml:space="preserve">Implementation of Competency-Based Curriculum (CBC) and Free Secondary Education reforms requiring sophisticated administrative systems.</w:t>
      </w:r>
    </w:p>
    <w:p>
      <w:pPr>
        <w:numPr>
          <w:ilvl w:val="0"/>
          <w:numId w:val="1001"/>
        </w:numPr>
        <w:pStyle w:val="Compact"/>
      </w:pPr>
      <w:r>
        <w:rPr>
          <w:bCs/>
          <w:b/>
        </w:rPr>
        <w:t xml:space="preserve">Investor Interest:</w:t>
      </w:r>
      <w:r>
        <w:t xml:space="preserve"> </w:t>
      </w:r>
      <w:r>
        <w:t xml:space="preserve">Increased private investment in Nairobi's education sector, particularly in K-12 institutions and vocational training centers.</w:t>
      </w:r>
    </w:p>
    <w:p>
      <w:pPr>
        <w:numPr>
          <w:ilvl w:val="0"/>
          <w:numId w:val="1001"/>
        </w:numPr>
        <w:pStyle w:val="Compact"/>
      </w:pPr>
      <w:r>
        <w:rPr>
          <w:bCs/>
          <w:b/>
        </w:rPr>
        <w:t xml:space="preserve">Tech Integration:</w:t>
      </w:r>
      <w:r>
        <w:t xml:space="preserve"> </w:t>
      </w:r>
      <w:r>
        <w:t xml:space="preserve">68% of Nairobi schools now use digital management platforms, creating demand for administrators skilled in EdTech solutions.</w:t>
      </w:r>
    </w:p>
    <w:p>
      <w:pPr>
        <w:pStyle w:val="FirstParagraph"/>
      </w:pPr>
      <w:r>
        <w:rPr>
          <w:bCs/>
          <w:b/>
        </w:rPr>
        <w:t xml:space="preserve">Geographic Insight:</w:t>
      </w:r>
      <w:r>
        <w:t xml:space="preserve"> </w:t>
      </w:r>
      <w:r>
        <w:t xml:space="preserve">Our sales data shows Nairobi's Eastleigh and Karen suburbs drive 32% of premium education administrator services due to high-income international school clusters, while informal settlements like Kibera present untapped market potential requiring culturally tailored administrative solutions.</w:t>
      </w:r>
    </w:p>
    <w:bookmarkEnd w:id="21"/>
    <w:bookmarkStart w:id="22" w:name="sales-performance-highlights"/>
    <w:p>
      <w:pPr>
        <w:pStyle w:val="Heading2"/>
      </w:pPr>
      <w:r>
        <w:t xml:space="preserve">Sales Performance Highlights</w:t>
      </w:r>
    </w:p>
    <w:p>
      <w:pPr>
        <w:pStyle w:val="FirstParagraph"/>
      </w:pPr>
      <w:r>
        <w:t xml:space="preserve">Service Category</w:t>
      </w:r>
    </w:p>
    <w:bookmarkEnd w:id="22"/>
    <w:p>
      <w:pPr>
        <w:pStyle w:val="BodyText"/>
      </w:pPr>
      <w:r>
        <w:t xml:space="preserve">Q1 2023/24 (KES)</w:t>
      </w:r>
    </w:p>
    <w:p>
      <w:pPr>
        <w:pStyle w:val="BodyText"/>
      </w:pPr>
      <w:r>
        <w:t xml:space="preserve">Q4 2023/24 (KES)</w:t>
      </w:r>
    </w:p>
    <w:p>
      <w:pPr>
        <w:pStyle w:val="BodyText"/>
      </w:pPr>
      <w:r>
        <w:rPr>
          <w:bCs/>
          <w:b/>
        </w:rPr>
        <w:t xml:space="preserve">% Change</w:t>
      </w:r>
    </w:p>
    <w:p>
      <w:pPr>
        <w:pStyle w:val="BodyText"/>
      </w:pPr>
      <w:r>
        <w:t xml:space="preserve">Curriculum Management Systems</w:t>
      </w:r>
    </w:p>
    <w:p>
      <w:pPr>
        <w:pStyle w:val="BodyText"/>
      </w:pPr>
      <w:r>
        <w:t xml:space="preserve">875,000</w:t>
      </w:r>
    </w:p>
    <w:p>
      <w:pPr>
        <w:pStyle w:val="BodyText"/>
      </w:pPr>
      <w:r>
        <w:t xml:space="preserve">1,950,000</w:t>
      </w:r>
    </w:p>
    <w:p>
      <w:pPr>
        <w:pStyle w:val="BodyText"/>
      </w:pPr>
      <w:r>
        <w:t xml:space="preserve">+123%</w:t>
      </w:r>
    </w:p>
    <w:p>
      <w:pPr>
        <w:pStyle w:val="BodyText"/>
      </w:pPr>
      <w:r>
        <w:t xml:space="preserve">Stakeholder Engagement Programs</w:t>
      </w:r>
    </w:p>
    <w:p>
      <w:pPr>
        <w:pStyle w:val="BodyText"/>
      </w:pPr>
      <w:r>
        <w:t xml:space="preserve">642,000</w:t>
      </w:r>
    </w:p>
    <w:p>
      <w:pPr>
        <w:pStyle w:val="BodyText"/>
      </w:pPr>
      <w:r>
        <w:t xml:space="preserve">&lt;</w:t>
      </w:r>
    </w:p>
    <w:p>
      <w:pPr>
        <w:pStyle w:val="BodyText"/>
      </w:pPr>
      <w:r>
        <w:t xml:space="preserve">1,428,500</w:t>
      </w:r>
    </w:p>
    <w:p>
      <w:pPr>
        <w:pStyle w:val="BodyText"/>
      </w:pPr>
      <w:r>
        <w:t xml:space="preserve">+122%</w:t>
      </w:r>
    </w:p>
    <w:p>
      <w:pPr>
        <w:pStyle w:val="BodyText"/>
      </w:pPr>
      <w:r>
        <w:t xml:space="preserve">Compliance &amp; Reporting Solutions</w:t>
      </w:r>
    </w:p>
    <w:p>
      <w:pPr>
        <w:pStyle w:val="BodyText"/>
      </w:pPr>
      <w:r>
        <w:t xml:space="preserve">Directly aligned with Kenya Institute of Curriculum Development (KICD) mandates in Nairobi schools</w:t>
      </w:r>
    </w:p>
    <w:p>
      <w:pPr>
        <w:pStyle w:val="BodyText"/>
      </w:pPr>
      <w:r>
        <w:t xml:space="preserve">Total Education Administrator Services Revenue</w:t>
      </w:r>
    </w:p>
    <w:p>
      <w:pPr>
        <w:pStyle w:val="BodyText"/>
      </w:pPr>
      <w:r>
        <w:t xml:space="preserve">4,200,000</w:t>
      </w:r>
    </w:p>
    <w:p>
      <w:pPr>
        <w:pStyle w:val="BodyText"/>
      </w:pPr>
      <w:r>
        <w:t xml:space="preserve">9,850,000</w:t>
      </w:r>
    </w:p>
    <w:p>
      <w:pPr>
        <w:pStyle w:val="BodyText"/>
      </w:pPr>
      <w:r>
        <w:t xml:space="preserve">+134%</w:t>
      </w:r>
    </w:p>
    <w:p>
      <w:pPr>
        <w:pStyle w:val="BodyText"/>
      </w:pPr>
      <w:r>
        <w:t xml:space="preserve">The 134% revenue growth in Nairobi's Education Administrator services is attributed to strategic partnerships with key institutions like the Nairobi County Government Schools Authority and leading private chains (e.g., Ambassadors Group, Strathmore University-affiliated schools). Notably, our flagship "Nairobi School Leadership Accelerator" program achieved 92% client retention through personalized administrative support.</w:t>
      </w:r>
    </w:p>
    <w:bookmarkStart w:id="25" w:name="X4d16546664474cd023458f7baedc702c460c62c"/>
    <w:p>
      <w:pPr>
        <w:pStyle w:val="Heading2"/>
      </w:pPr>
      <w:r>
        <w:t xml:space="preserve">Challenges &amp; Strategic Adaptations in Kenya Nairobi</w:t>
      </w:r>
    </w:p>
    <w:bookmarkStart w:id="23" w:name="key-obstacles-encountered"/>
    <w:p>
      <w:pPr>
        <w:pStyle w:val="Heading3"/>
      </w:pPr>
      <w:r>
        <w:t xml:space="preserve">Key Obstacles Encountered</w:t>
      </w:r>
    </w:p>
    <w:p>
      <w:pPr>
        <w:numPr>
          <w:ilvl w:val="0"/>
          <w:numId w:val="1002"/>
        </w:numPr>
        <w:pStyle w:val="Compact"/>
      </w:pPr>
      <w:r>
        <w:rPr>
          <w:bCs/>
          <w:b/>
        </w:rPr>
        <w:t xml:space="preserve">Cultural Nuances:</w:t>
      </w:r>
      <w:r>
        <w:t xml:space="preserve"> </w:t>
      </w:r>
      <w:r>
        <w:t xml:space="preserve">Traditional hierarchical structures in Kenyan schools initially resisted data-driven administrative approaches.</w:t>
      </w:r>
    </w:p>
    <w:p>
      <w:pPr>
        <w:numPr>
          <w:ilvl w:val="0"/>
          <w:numId w:val="1002"/>
        </w:numPr>
        <w:pStyle w:val="Compact"/>
      </w:pPr>
      <w:r>
        <w:rPr>
          <w:bCs/>
          <w:b/>
        </w:rPr>
        <w:t xml:space="preserve">Funding Instability:</w:t>
      </w:r>
      <w:r>
        <w:t xml:space="preserve"> </w:t>
      </w:r>
      <w:r>
        <w:t xml:space="preserve">Public schools face budget volatility under Kenya's new Education Act, impacting service contracts.</w:t>
      </w:r>
    </w:p>
    <w:p>
      <w:pPr>
        <w:numPr>
          <w:ilvl w:val="0"/>
          <w:numId w:val="1002"/>
        </w:numPr>
        <w:pStyle w:val="Compact"/>
      </w:pPr>
      <w:r>
        <w:rPr>
          <w:bCs/>
          <w:b/>
        </w:rPr>
        <w:t xml:space="preserve">Talent Shortage:</w:t>
      </w:r>
      <w:r>
        <w:t xml:space="preserve"> </w:t>
      </w:r>
      <w:r>
        <w:t xml:space="preserve">Only 15% of Nairobi education administrators possess certified EdTech management skills (Kenya National Bureau of Statistics, 2023).</w:t>
      </w:r>
    </w:p>
    <w:bookmarkEnd w:id="23"/>
    <w:bookmarkStart w:id="24" w:name="our-adaptive-solutions"/>
    <w:p>
      <w:pPr>
        <w:pStyle w:val="Heading3"/>
      </w:pPr>
      <w:r>
        <w:t xml:space="preserve">Our Adaptive Solutions</w:t>
      </w:r>
    </w:p>
    <w:p>
      <w:pPr>
        <w:pStyle w:val="FirstParagraph"/>
      </w:pPr>
      <w:r>
        <w:rPr>
          <w:bCs/>
          <w:b/>
        </w:rPr>
        <w:t xml:space="preserve">Localized Engagement Framework:</w:t>
      </w:r>
      <w:r>
        <w:t xml:space="preserve"> </w:t>
      </w:r>
      <w:r>
        <w:t xml:space="preserve">We developed "Mtaani Education Admin" training modules addressing Nairobi-specific contexts—incorporating Swahili communication protocols and community engagement strategies proven in informal settlements. This increased sales conversion by 41% among community schools.</w:t>
      </w:r>
    </w:p>
    <w:p>
      <w:pPr>
        <w:pStyle w:val="BodyText"/>
      </w:pPr>
      <w:r>
        <w:t xml:space="preserve">Additionally, we partnered with Kenya Revenue Authority (KRA) to create tax-compliant billing structures for Nairobi's education sector, resolving a major client acquisition barrier that had previously stalled 27% of potential contracts.</w:t>
      </w:r>
    </w:p>
    <w:bookmarkEnd w:id="24"/>
    <w:bookmarkEnd w:id="25"/>
    <w:bookmarkStart w:id="27" w:name="X2e2ffe4bd8765e76a8e141c543cc5145ca707b6"/>
    <w:p>
      <w:pPr>
        <w:pStyle w:val="Heading2"/>
      </w:pPr>
      <w:r>
        <w:t xml:space="preserve">Strategic Roadmap for Education Administrator Expansion in Nairobi</w:t>
      </w:r>
    </w:p>
    <w:bookmarkStart w:id="26" w:name="immediate-priorities-q1-q3-2024"/>
    <w:p>
      <w:pPr>
        <w:pStyle w:val="Heading3"/>
      </w:pPr>
      <w:r>
        <w:t xml:space="preserve">Immediate Priorities (Q1-Q3 2024)</w:t>
      </w:r>
    </w:p>
    <w:p>
      <w:pPr>
        <w:numPr>
          <w:ilvl w:val="0"/>
          <w:numId w:val="1003"/>
        </w:numPr>
        <w:pStyle w:val="Compact"/>
      </w:pPr>
      <w:r>
        <w:rPr>
          <w:bCs/>
          <w:b/>
        </w:rPr>
        <w:t xml:space="preserve">Nairobi County School Integration:</w:t>
      </w:r>
      <w:r>
        <w:t xml:space="preserve"> </w:t>
      </w:r>
      <w:r>
        <w:t xml:space="preserve">Targeting 85% of county government schools with our compliance management platform by Q4 2024.</w:t>
      </w:r>
    </w:p>
    <w:p>
      <w:pPr>
        <w:numPr>
          <w:ilvl w:val="0"/>
          <w:numId w:val="1003"/>
        </w:numPr>
        <w:pStyle w:val="Compact"/>
      </w:pPr>
      <w:r>
        <w:rPr>
          <w:bCs/>
          <w:b/>
        </w:rPr>
        <w:t xml:space="preserve">EdTech Certification Program:</w:t>
      </w:r>
      <w:r>
        <w:t xml:space="preserve"> </w:t>
      </w:r>
      <w:r>
        <w:t xml:space="preserve">Launching Nairobi's first accredited Education Administrator certification course in partnership with Jomo Kenyatta University, addressing the critical skills gap.</w:t>
      </w:r>
    </w:p>
    <w:p>
      <w:pPr>
        <w:numPr>
          <w:ilvl w:val="0"/>
          <w:numId w:val="1003"/>
        </w:numPr>
        <w:pStyle w:val="Compact"/>
      </w:pPr>
      <w:r>
        <w:rPr>
          <w:bCs/>
          <w:b/>
        </w:rPr>
        <w:t xml:space="preserve">Sustainability Focus:</w:t>
      </w:r>
      <w:r>
        <w:t xml:space="preserve"> </w:t>
      </w:r>
      <w:r>
        <w:t xml:space="preserve">Developing "Green School Administration" packages to meet Nairobi County's environmental regulations, projected to unlock KES 3.2 billion in new contracts by 2025.</w:t>
      </w:r>
    </w:p>
    <w:p>
      <w:pPr>
        <w:pStyle w:val="FirstParagraph"/>
      </w:pPr>
      <w:r>
        <w:rPr>
          <w:bCs/>
          <w:b/>
        </w:rPr>
        <w:t xml:space="preserve">Market Opportunity:</w:t>
      </w:r>
      <w:r>
        <w:t xml:space="preserve"> </w:t>
      </w:r>
      <w:r>
        <w:t xml:space="preserve">With Kenya's education sector projected to grow at 14% annually (AfDB), our Nairobi Education Administrator division is positioned to capture 35% of the capital city's administrative services market within three years through hyper-localized solutions.</w:t>
      </w:r>
    </w:p>
    <w:bookmarkEnd w:id="26"/>
    <w:bookmarkEnd w:id="27"/>
    <w:bookmarkStart w:id="28" w:name="X3a0d767c1450ece4d7697c50775415fcffde620"/>
    <w:p>
      <w:pPr>
        <w:pStyle w:val="Heading2"/>
      </w:pPr>
      <w:r>
        <w:t xml:space="preserve">Conclusion: The Imperative of Specialized Education Administration in Nairobi</w:t>
      </w:r>
    </w:p>
    <w:p>
      <w:pPr>
        <w:pStyle w:val="FirstParagraph"/>
      </w:pPr>
      <w:r>
        <w:t xml:space="preserve">This Sales Report unequivocally demonstrates that the Education Administrator role is not merely operational but strategically transformative for Kenya's Nairobi education ecosystem. As urbanization accelerates and education becomes central to Kenya's Vision 2030, our ability to deliver market-specific administrative solutions directly impacts student outcomes and institutional viability.</w:t>
      </w:r>
    </w:p>
    <w:p>
      <w:pPr>
        <w:pStyle w:val="BodyText"/>
      </w:pPr>
      <w:r>
        <w:t xml:space="preserve">Our data confirms that schools in Nairobi with certified Education Administrators achieve 29% higher operational efficiency scores (measured via KICD metrics) and attract 37% more donor funding. This is why our sales strategy now embeds the term "Nairobi Education Administrator" as a core product differentiator—signaling expertise in Kenya's unique urban educational landscape.</w:t>
      </w:r>
    </w:p>
    <w:p>
      <w:pPr>
        <w:pStyle w:val="BodyText"/>
      </w:pPr>
      <w:r>
        <w:t xml:space="preserve">As we move into 2024, we commit to deepening our Nairobi-specific market intelligence and expanding services beyond traditional school administration to include community-based learning centers and digital education hubs. This isn't just a Sales Report—it's an investment blueprint for Kenya's future leaders, administered through the lens of Nairobi's distinct educational heartbeat.</w:t>
      </w:r>
    </w:p>
    <w:bookmarkEnd w:id="28"/>
    <w:p>
      <w:pPr>
        <w:pStyle w:val="BodyText"/>
      </w:pPr>
      <w:r>
        <w:t xml:space="preserve">Prepared by: National Education Solutions Group | Nairobi Office | October 26, 2023</w:t>
      </w:r>
    </w:p>
    <w:p>
      <w:pPr>
        <w:pStyle w:val="BodyText"/>
      </w:pPr>
      <w:r>
        <w:t xml:space="preserve">Confidential: For internal use only. This Sales Report for Kenya Nairobi serves as strategic planning document for Education Administrator service expansion.</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Administrator Sales Report: Nairobi, Kenya</dc:title>
  <dc:creator/>
  <dc:language>en</dc:language>
  <cp:keywords/>
  <dcterms:created xsi:type="dcterms:W3CDTF">2026-07-23T20:06:14Z</dcterms:created>
  <dcterms:modified xsi:type="dcterms:W3CDTF">2026-07-23T20:06:14Z</dcterms:modified>
</cp:coreProperties>
</file>

<file path=docProps/custom.xml><?xml version="1.0" encoding="utf-8"?>
<Properties xmlns="http://schemas.openxmlformats.org/officeDocument/2006/custom-properties" xmlns:vt="http://schemas.openxmlformats.org/officeDocument/2006/docPropsVTypes"/>
</file>