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Kuwait</w:t>
      </w:r>
    </w:p>
    <w:bookmarkStart w:id="30" w:name="Xe6e1f1865f58007d9d3f2d47fa838f09f82516c"/>
    <w:p>
      <w:pPr>
        <w:pStyle w:val="Heading1"/>
      </w:pPr>
      <w:r>
        <w:t xml:space="preserve">Comprehensive Sales Report: Education Administrator Performance in Kuwait City, Kuwait</w:t>
      </w:r>
    </w:p>
    <w:bookmarkStart w:id="20" w:name="executive-summary"/>
    <w:p>
      <w:pPr>
        <w:pStyle w:val="Heading2"/>
      </w:pPr>
      <w:r>
        <w:t xml:space="preserve">Executive Summary</w:t>
      </w:r>
    </w:p>
    <w:p>
      <w:pPr>
        <w:pStyle w:val="FirstParagraph"/>
      </w:pPr>
      <w:r>
        <w:t xml:space="preserve">This Sales Report details the performance of our Education Administrator within the dynamic educational landscape of Kuwait City, Kuwait. As a pivotal role driving institutional growth and service excellence, the Education Administrator has consistently demonstrated exceptional results in enrollment expansion, stakeholder engagement, and strategic market positioning. This document serves as an essential review of how targeted administrative strategies have directly contributed to measurable sales outcomes across all key educational service metrics in Kuwait City.</w:t>
      </w:r>
    </w:p>
    <w:bookmarkEnd w:id="20"/>
    <w:bookmarkStart w:id="21" w:name="X6761cf22184dfc5ceb9b3121fab08ae520153f7"/>
    <w:p>
      <w:pPr>
        <w:pStyle w:val="Heading2"/>
      </w:pPr>
      <w:r>
        <w:t xml:space="preserve">Market Context: Education Sector in Kuwait City</w:t>
      </w:r>
    </w:p>
    <w:p>
      <w:pPr>
        <w:pStyle w:val="FirstParagraph"/>
      </w:pPr>
      <w:r>
        <w:t xml:space="preserve">Kuwait City remains the undisputed epicenter of education excellence in Kuwait, housing over 75% of the nation's private and international schools. With a rapidly growing expatriate population and government initiatives like "Kuwait Vision 2035," demand for high-quality educational services has surged by 22% year-over-year. This Sales Report specifically evaluates how our Education Administrator has capitalized on this market opportunity within Kuwait City, transforming strategic vision into tangible enrollment growth and service adoption rates.</w:t>
      </w:r>
    </w:p>
    <w:bookmarkEnd w:id="21"/>
    <w:bookmarkStart w:id="22" w:name="X07caf4feea1504b3068e78e9c98f40e7c98ed68"/>
    <w:p>
      <w:pPr>
        <w:pStyle w:val="Heading2"/>
      </w:pPr>
      <w:r>
        <w:t xml:space="preserve">Performance Metrics: Enrollment and Service Growth (Q1-Q3 2023)</w:t>
      </w:r>
    </w:p>
    <w:p>
      <w:pPr>
        <w:pStyle w:val="FirstParagraph"/>
      </w:pPr>
      <w:r>
        <w:t xml:space="preserve">The Education Administrator's core responsibilities directly translate to sales outcomes in our educational ecosystem. Key metrics demonstrating exceptional performance include:</w:t>
      </w:r>
    </w:p>
    <w:p>
      <w:pPr>
        <w:numPr>
          <w:ilvl w:val="0"/>
          <w:numId w:val="1001"/>
        </w:numPr>
        <w:pStyle w:val="Compact"/>
      </w:pPr>
      <w:r>
        <w:rPr>
          <w:bCs/>
          <w:b/>
        </w:rPr>
        <w:t xml:space="preserve">Enrollment Growth:</w:t>
      </w:r>
      <w:r>
        <w:t xml:space="preserve"> </w:t>
      </w:r>
      <w:r>
        <w:t xml:space="preserve">Achieved 38% year-over-year increase in student admissions across all grade levels, significantly exceeding Kuwait City's sector average of 15%. This growth directly impacts institutional revenue streams and market positioning.</w:t>
      </w:r>
    </w:p>
    <w:p>
      <w:pPr>
        <w:numPr>
          <w:ilvl w:val="0"/>
          <w:numId w:val="1001"/>
        </w:numPr>
        <w:pStyle w:val="Compact"/>
      </w:pPr>
      <w:r>
        <w:rPr>
          <w:bCs/>
          <w:b/>
        </w:rPr>
        <w:t xml:space="preserve">Program Expansion Sales:</w:t>
      </w:r>
      <w:r>
        <w:t xml:space="preserve"> </w:t>
      </w:r>
      <w:r>
        <w:t xml:space="preserve">Successfully launched three new specialized academic tracks (STEM Innovation, Arabic-English Bilingual Pathways, and Vocational Skills Integration), securing 247 enrollments within the first quarter – a 190% increase over forecasted targets for Kuwait City.</w:t>
      </w:r>
    </w:p>
    <w:p>
      <w:pPr>
        <w:numPr>
          <w:ilvl w:val="0"/>
          <w:numId w:val="1001"/>
        </w:numPr>
        <w:pStyle w:val="Compact"/>
      </w:pPr>
      <w:r>
        <w:rPr>
          <w:bCs/>
          <w:b/>
        </w:rPr>
        <w:t xml:space="preserve">Stakeholder Retention Rate:</w:t>
      </w:r>
      <w:r>
        <w:t xml:space="preserve"> </w:t>
      </w:r>
      <w:r>
        <w:t xml:space="preserve">Achieved 94% parent retention rate through proactive communication strategies and personalized service, surpassing the Kuwait City benchmark of 85%. This directly reduces "customer acquisition cost" in educational services.</w:t>
      </w:r>
    </w:p>
    <w:p>
      <w:pPr>
        <w:numPr>
          <w:ilvl w:val="0"/>
          <w:numId w:val="1001"/>
        </w:numPr>
        <w:pStyle w:val="Compact"/>
      </w:pPr>
      <w:r>
        <w:rPr>
          <w:bCs/>
          <w:b/>
        </w:rPr>
        <w:t xml:space="preserve">Community Partnership Sales:</w:t>
      </w:r>
      <w:r>
        <w:t xml:space="preserve"> </w:t>
      </w:r>
      <w:r>
        <w:t xml:space="preserve">Forged 12 new corporate partnerships (including major Kuwaiti entities like Kuwait Petroleum Corporation and Gulf Bank) for student internship programs, generating $320,000 in annual service revenue through structured partnership agreements.</w:t>
      </w:r>
    </w:p>
    <w:bookmarkEnd w:id="22"/>
    <w:bookmarkStart w:id="26" w:name="Xa7d4b80c7bdd58a893ef01be472de30e50c584f"/>
    <w:p>
      <w:pPr>
        <w:pStyle w:val="Heading2"/>
      </w:pPr>
      <w:r>
        <w:t xml:space="preserve">Strategic Initiatives Driving Sales Success</w:t>
      </w:r>
    </w:p>
    <w:p>
      <w:pPr>
        <w:pStyle w:val="FirstParagraph"/>
      </w:pPr>
      <w:r>
        <w:t xml:space="preserve">The Education Administrator implemented targeted initiatives specifically tailored to Kuwait City's market dynamics:</w:t>
      </w:r>
    </w:p>
    <w:bookmarkStart w:id="23" w:name="hyper-localized-marketing-campaigns"/>
    <w:p>
      <w:pPr>
        <w:pStyle w:val="Heading3"/>
      </w:pPr>
      <w:r>
        <w:t xml:space="preserve">1. Hyper-Localized Marketing Campaigns</w:t>
      </w:r>
    </w:p>
    <w:p>
      <w:pPr>
        <w:pStyle w:val="FirstParagraph"/>
      </w:pPr>
      <w:r>
        <w:t xml:space="preserve">Developed culturally resonant recruitment strategies for Kuwait City families, leveraging local media partnerships (Al-Watan newspaper, Radio Salmiya) and community events like the Kuwait International Education Expo. This initiative generated 47% of all new enrollments in Q3 2023 – a direct sales outcome demonstrating the Administrator's market acumen.</w:t>
      </w:r>
    </w:p>
    <w:bookmarkEnd w:id="23"/>
    <w:bookmarkStart w:id="24" w:name="X36255b90990ca6fbadacf869f55a69bc74e945b"/>
    <w:p>
      <w:pPr>
        <w:pStyle w:val="Heading3"/>
      </w:pPr>
      <w:r>
        <w:t xml:space="preserve">2. Digital Transformation for Enrollment Sales</w:t>
      </w:r>
    </w:p>
    <w:p>
      <w:pPr>
        <w:pStyle w:val="FirstParagraph"/>
      </w:pPr>
      <w:r>
        <w:t xml:space="preserve">Introduced an AI-powered enrollment platform accessible via Kuwait City's dominant mobile ecosystem (Mojtamaa, Zain, STC apps), reducing application processing time by 68% and increasing conversion rates by 31%. This technological adaptation directly contributed to the sales pipeline growth in Kuwait City.</w:t>
      </w:r>
    </w:p>
    <w:bookmarkEnd w:id="24"/>
    <w:bookmarkStart w:id="25" w:name="policy-driven-service-alignment"/>
    <w:p>
      <w:pPr>
        <w:pStyle w:val="Heading3"/>
      </w:pPr>
      <w:r>
        <w:t xml:space="preserve">3. Policy-Driven Service Alignment</w:t>
      </w:r>
    </w:p>
    <w:p>
      <w:pPr>
        <w:pStyle w:val="FirstParagraph"/>
      </w:pPr>
      <w:r>
        <w:t xml:space="preserve">Proactively aligned all educational services with Kuwait's Ministry of Education's new "Quality Assurance Framework," ensuring 100% compliance and enabling seamless enrollment approvals – a critical factor for sales conversion in the Kuwait City regulatory environment.</w:t>
      </w:r>
    </w:p>
    <w:bookmarkEnd w:id="25"/>
    <w:bookmarkEnd w:id="26"/>
    <w:bookmarkStart w:id="27" w:name="challenges-and-adaptive-solutions"/>
    <w:p>
      <w:pPr>
        <w:pStyle w:val="Heading2"/>
      </w:pPr>
      <w:r>
        <w:t xml:space="preserve">Challenges and Adaptive Solutions</w:t>
      </w:r>
    </w:p>
    <w:p>
      <w:pPr>
        <w:pStyle w:val="FirstParagraph"/>
      </w:pPr>
      <w:r>
        <w:t xml:space="preserve">Despite market opportunities, the Education Administrator navigated significant challenges:</w:t>
      </w:r>
    </w:p>
    <w:p>
      <w:pPr>
        <w:numPr>
          <w:ilvl w:val="0"/>
          <w:numId w:val="1002"/>
        </w:numPr>
        <w:pStyle w:val="Compact"/>
      </w:pPr>
      <w:r>
        <w:rPr>
          <w:bCs/>
          <w:b/>
        </w:rPr>
        <w:t xml:space="preserve">Market Saturation:</w:t>
      </w:r>
      <w:r>
        <w:t xml:space="preserve"> </w:t>
      </w:r>
      <w:r>
        <w:t xml:space="preserve">In response to rising competition among Kuwait City schools, the Administrator developed a "Premium Experience" tier offering personalized learning analytics – increasing average tuition revenue per student by 18%.</w:t>
      </w:r>
    </w:p>
    <w:p>
      <w:pPr>
        <w:numPr>
          <w:ilvl w:val="0"/>
          <w:numId w:val="1002"/>
        </w:numPr>
        <w:pStyle w:val="Compact"/>
      </w:pPr>
      <w:r>
        <w:rPr>
          <w:bCs/>
          <w:b/>
        </w:rPr>
        <w:t xml:space="preserve">Cultural Sensitivity Requirements:</w:t>
      </w:r>
      <w:r>
        <w:t xml:space="preserve"> </w:t>
      </w:r>
      <w:r>
        <w:t xml:space="preserve">Addressed specific parental concerns in Kuwait City through bi-weekly cultural competency workshops for staff, directly improving enrollment conversion rates from 42% to 67% among local families.</w:t>
      </w:r>
    </w:p>
    <w:bookmarkEnd w:id="27"/>
    <w:bookmarkStart w:id="28" w:name="X354aef68181fcca8004289f6ceb2aeab48f778f"/>
    <w:p>
      <w:pPr>
        <w:pStyle w:val="Heading2"/>
      </w:pPr>
      <w:r>
        <w:t xml:space="preserve">Future Sales Strategy for Kuwait City Market</w:t>
      </w:r>
    </w:p>
    <w:p>
      <w:pPr>
        <w:pStyle w:val="FirstParagraph"/>
      </w:pPr>
      <w:r>
        <w:t xml:space="preserve">This Sales Report concludes with the following actionable roadmap for the Education Administrator to sustain growth in Kuwait City:</w:t>
      </w:r>
    </w:p>
    <w:p>
      <w:pPr>
        <w:numPr>
          <w:ilvl w:val="0"/>
          <w:numId w:val="1003"/>
        </w:numPr>
        <w:pStyle w:val="Compact"/>
      </w:pPr>
      <w:r>
        <w:rPr>
          <w:bCs/>
          <w:b/>
        </w:rPr>
        <w:t xml:space="preserve">Targeted Enrollment Expansion:</w:t>
      </w:r>
      <w:r>
        <w:t xml:space="preserve"> </w:t>
      </w:r>
      <w:r>
        <w:t xml:space="preserve">Focus on underpenetrated areas of Kuwait City (Ras Abu Jarjur, Al Ahmadi) through community-based "Education Awareness Tours" targeting 50+ new families quarterly.</w:t>
      </w:r>
    </w:p>
    <w:p>
      <w:pPr>
        <w:numPr>
          <w:ilvl w:val="0"/>
          <w:numId w:val="1003"/>
        </w:numPr>
        <w:pStyle w:val="Compact"/>
      </w:pPr>
      <w:r>
        <w:rPr>
          <w:bCs/>
          <w:b/>
        </w:rPr>
        <w:t xml:space="preserve">Premium Service Bundling:</w:t>
      </w:r>
      <w:r>
        <w:t xml:space="preserve"> </w:t>
      </w:r>
      <w:r>
        <w:t xml:space="preserve">Develop a "Kuwaiti Excellence Package" combining academic curriculum with cultural heritage enrichment – projected to increase average revenue per student by 25% in 2024.</w:t>
      </w:r>
    </w:p>
    <w:p>
      <w:pPr>
        <w:numPr>
          <w:ilvl w:val="0"/>
          <w:numId w:val="1003"/>
        </w:numPr>
        <w:pStyle w:val="Compact"/>
      </w:pPr>
      <w:r>
        <w:rPr>
          <w:bCs/>
          <w:b/>
        </w:rPr>
        <w:t xml:space="preserve">Digital Sales Pipeline Enhancement:</w:t>
      </w:r>
      <w:r>
        <w:t xml:space="preserve"> </w:t>
      </w:r>
      <w:r>
        <w:t xml:space="preserve">Integrate social media advertising specifically for Kuwait City parents using TikTok and Instagram, targeting a 35% reduction in lead acquisition cost through geo-targeted campaigns.</w:t>
      </w:r>
    </w:p>
    <w:bookmarkEnd w:id="28"/>
    <w:bookmarkStart w:id="29" w:name="X67cbb916f1ff91464b34dba6a0870ea2e17accd"/>
    <w:p>
      <w:pPr>
        <w:pStyle w:val="Heading2"/>
      </w:pPr>
      <w:r>
        <w:t xml:space="preserve">Conclusion: The Strategic Imperative of the Education Administrator</w:t>
      </w:r>
    </w:p>
    <w:p>
      <w:pPr>
        <w:pStyle w:val="FirstParagraph"/>
      </w:pPr>
      <w:r>
        <w:t xml:space="preserve">This comprehensive Sales Report unequivocally demonstrates how the Education Administrator role has become indispensable to institutional success in Kuwait City, Kuwait. By transforming administrative excellence into measurable sales outcomes – through enrollment growth, program expansion, and strategic partnerships – our Education Administrator has positioned this institution as a market leader within the competitive landscape of Kuwait City's education sector.</w:t>
      </w:r>
    </w:p>
    <w:p>
      <w:pPr>
        <w:pStyle w:val="BodyText"/>
      </w:pPr>
      <w:r>
        <w:t xml:space="preserve">The data confirms that targeted educational administration directly drives revenue generation. In a region where parental choice is increasingly influenced by institutional reputation and service quality (as evidenced in Kuwait City's 78% parent survey satisfaction rate), this Sales Report underscores that the Education Administrator is not merely an operational role but a critical sales driver. As Kuwait City continues its trajectory as a global education hub under Vision 2035, sustained investment in this specialized role will remain paramount for securing market share and achieving long-term financial sustainability.</w:t>
      </w:r>
    </w:p>
    <w:p>
      <w:pPr>
        <w:pStyle w:val="BodyText"/>
      </w:pPr>
      <w:r>
        <w:t xml:space="preserve">Recommendation: Approve all proposed initiatives in the Sales Strategy section to capitalize on Kuwait City's current growth phase. The Education Administrator's proven ability to convert market opportunities into revenue streams makes this role fundamental to our strategic success in Kuwait City.</w:t>
      </w:r>
    </w:p>
    <w:p>
      <w:pPr>
        <w:pStyle w:val="BodyText"/>
      </w:pPr>
      <w:r>
        <w:rPr>
          <w:bCs/>
          <w:b/>
        </w:rPr>
        <w:t xml:space="preserve">Prepared for:</w:t>
      </w:r>
      <w:r>
        <w:t xml:space="preserve"> </w:t>
      </w:r>
      <w:r>
        <w:t xml:space="preserve">Executive Leadership Team, Ministry of Education Compliance Department</w:t>
      </w:r>
      <w:r>
        <w:br/>
      </w:r>
      <w:r>
        <w:rPr>
          <w:bCs/>
          <w:b/>
        </w:rPr>
        <w:t xml:space="preserve">Date:</w:t>
      </w:r>
      <w:r>
        <w:t xml:space="preserve"> </w:t>
      </w:r>
      <w:r>
        <w:t xml:space="preserve">October 26, 2023</w:t>
      </w:r>
      <w:r>
        <w:br/>
      </w:r>
      <w:r>
        <w:rPr>
          <w:bCs/>
          <w:b/>
        </w:rPr>
        <w:t xml:space="preserve">Report Category:</w:t>
      </w:r>
      <w:r>
        <w:t xml:space="preserve"> </w:t>
      </w:r>
      <w:r>
        <w:t xml:space="preserve">Educational Sales Performance – Kuwait City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Kuwait City, Kuwait</dc:title>
  <dc:creator/>
  <dc:language>en</dc:language>
  <cp:keywords/>
  <dcterms:created xsi:type="dcterms:W3CDTF">2026-07-23T16:33:51Z</dcterms:created>
  <dcterms:modified xsi:type="dcterms:W3CDTF">2026-07-23T16:33:51Z</dcterms:modified>
</cp:coreProperties>
</file>

<file path=docProps/custom.xml><?xml version="1.0" encoding="utf-8"?>
<Properties xmlns="http://schemas.openxmlformats.org/officeDocument/2006/custom-properties" xmlns:vt="http://schemas.openxmlformats.org/officeDocument/2006/docPropsVTypes"/>
</file>