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d75832b34f4cff872845d35588d0c60b4685fb1"/>
    <w:p>
      <w:pPr>
        <w:pStyle w:val="Heading1"/>
      </w:pPr>
      <w:r>
        <w:t xml:space="preserve">Sales Report: Education Administration Solutions in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Southeast Asia Division</w:t>
      </w:r>
      <w:r>
        <w:br/>
      </w:r>
      <w:r>
        <w:rPr>
          <w:bCs/>
          <w:b/>
        </w:rPr>
        <w:t xml:space="preserve">Prepared By:</w:t>
      </w:r>
      <w:r>
        <w:t xml:space="preserve"> </w:t>
      </w:r>
      <w:r>
        <w:t xml:space="preserve">Regional Sales Strategy Team</w:t>
      </w:r>
    </w:p>
    <w:bookmarkStart w:id="20" w:name="i.-executive-summary"/>
    <w:p>
      <w:pPr>
        <w:pStyle w:val="Heading2"/>
      </w:pPr>
      <w:r>
        <w:t xml:space="preserve">I. Executive Summary</w:t>
      </w:r>
    </w:p>
    <w:p>
      <w:pPr>
        <w:pStyle w:val="FirstParagraph"/>
      </w:pPr>
      <w:r>
        <w:t xml:space="preserve">This comprehensive Sales Report details the performance of our Education Administrator solution within Malaysia's Kuala Lumpur education sector. The report confirms a 37% year-over-year growth in enterprise contracts for our cloud-based administrative platform across Kuala Lumpur's public and private educational institutions. This success directly responds to Malaysia's National Education Blueprint 2021-2030, which prioritizes digital transformation in school management systems. As the leading provider of Education Administrator technology solutions serving Malaysia Kuala Lumpur, we've positioned ourselves as the strategic partner for institutional efficiency in this high-demand market.</w:t>
      </w:r>
    </w:p>
    <w:bookmarkEnd w:id="20"/>
    <w:bookmarkStart w:id="21" w:name="X0ff8a72438dc844089545fd977610d56fa3e76b"/>
    <w:p>
      <w:pPr>
        <w:pStyle w:val="Heading2"/>
      </w:pPr>
      <w:r>
        <w:t xml:space="preserve">II. Market Context: Education Administration Needs in Kuala Lumpur</w:t>
      </w:r>
    </w:p>
    <w:p>
      <w:pPr>
        <w:pStyle w:val="FirstParagraph"/>
      </w:pPr>
      <w:r>
        <w:t xml:space="preserve">Kuala Lumpur's education landscape faces unique challenges requiring sophisticated administrative solutions. With over 450 schools and 18 universities operating within the Klang Valley, institutions grapple with fragmented student databases, manual reporting systems, and compliance burdens under Malaysia's Ministry of Education (MOE) directives. The government's "Smart School" initiative has accelerated demand for integrated Education Administrator platforms that streamline operations while meeting national standards. In this context, our solution has become indispensable for schools navigating the transition to digital-first administration.</w:t>
      </w:r>
    </w:p>
    <w:p>
      <w:pPr>
        <w:pStyle w:val="BodyText"/>
      </w:pPr>
      <w:r>
        <w:t xml:space="preserve">Malaysia Kuala Lumpur represents 42% of all education technology adoption in Southeast Asia, making it our most critical market segment. Local institutions specifically require solutions addressing multilingual support (Bahasa Malaysia, English, Mandarin), MOE accreditation protocols, and culturally relevant student welfare modules – all core features of our Education Administrator platform.</w:t>
      </w:r>
    </w:p>
    <w:bookmarkEnd w:id="21"/>
    <w:bookmarkStart w:id="22" w:name="iii.-sales-performance-analysis-q3-2023"/>
    <w:p>
      <w:pPr>
        <w:pStyle w:val="Heading2"/>
      </w:pPr>
      <w:r>
        <w:t xml:space="preserve">III. Sales Performance Analysis (Q3 2023)</w:t>
      </w:r>
    </w:p>
    <w:p>
      <w:pPr>
        <w:pStyle w:val="FirstParagraph"/>
      </w:pPr>
      <w:r>
        <w:t xml:space="preserve">Region</w:t>
      </w:r>
    </w:p>
    <w:p>
      <w:pPr>
        <w:pStyle w:val="BodyText"/>
      </w:pPr>
      <w:r>
        <w:t xml:space="preserve">Contract Value (MYR)</w:t>
      </w:r>
    </w:p>
    <w:p>
      <w:pPr>
        <w:pStyle w:val="BodyText"/>
      </w:pPr>
      <w:r>
        <w:t xml:space="preserve">New Clients</w:t>
      </w:r>
    </w:p>
    <w:p>
      <w:pPr>
        <w:pStyle w:val="BodyText"/>
      </w:pPr>
      <w:r>
        <w:t xml:space="preserve">Growth vs Previous Quarter</w:t>
      </w:r>
    </w:p>
    <w:p>
      <w:pPr>
        <w:pStyle w:val="BodyText"/>
      </w:pPr>
      <w:r>
        <w:t xml:space="preserve">Kuala Lumpur Metropolitan Area</w:t>
      </w:r>
    </w:p>
    <w:p>
      <w:pPr>
        <w:pStyle w:val="BodyText"/>
      </w:pPr>
      <w:r>
        <w:t xml:space="preserve">12,450,000</w:t>
      </w:r>
    </w:p>
    <w:p>
      <w:pPr>
        <w:pStyle w:val="BodyText"/>
      </w:pPr>
      <w:r>
        <w:t xml:space="preserve">38 institutions</w:t>
      </w:r>
    </w:p>
    <w:p>
      <w:pPr>
        <w:pStyle w:val="BodyText"/>
      </w:pPr>
      <w:r>
        <w:t xml:space="preserve">+41%</w:t>
      </w:r>
    </w:p>
    <w:p>
      <w:pPr>
        <w:pStyle w:val="BodyText"/>
      </w:pPr>
      <w:r>
        <w:t xml:space="preserve">Suburban KL (Petaling Jaya, Shah Alam)</w:t>
      </w:r>
    </w:p>
    <w:p>
      <w:pPr>
        <w:pStyle w:val="BodyText"/>
      </w:pPr>
      <w:r>
        <w:t xml:space="preserve">7,890,500</w:t>
      </w:r>
    </w:p>
    <w:p>
      <w:pPr>
        <w:pStyle w:val="BodyText"/>
      </w:pPr>
      <w:r>
        <w:t xml:space="preserve">22 institutions</w:t>
      </w:r>
    </w:p>
    <w:p>
      <w:pPr>
        <w:pStyle w:val="BodyText"/>
      </w:pPr>
      <w:r>
        <w:t xml:space="preserve">Total Kuala Lumpur Market</w:t>
      </w:r>
    </w:p>
    <w:p>
      <w:pPr>
        <w:pStyle w:val="BodyText"/>
      </w:pPr>
      <w:r>
        <w:t xml:space="preserve">20,340,500</w:t>
      </w:r>
    </w:p>
    <w:p>
      <w:pPr>
        <w:pStyle w:val="BodyText"/>
      </w:pPr>
      <w:r>
        <w:t xml:space="preserve">60 institutions</w:t>
      </w:r>
    </w:p>
    <w:p>
      <w:pPr>
        <w:pStyle w:val="BodyText"/>
      </w:pPr>
      <w:r>
        <w:t xml:space="preserve">The Q3 performance demonstrates exceptional traction with key segments:</w:t>
      </w:r>
    </w:p>
    <w:p>
      <w:pPr>
        <w:numPr>
          <w:ilvl w:val="0"/>
          <w:numId w:val="1001"/>
        </w:numPr>
        <w:pStyle w:val="Compact"/>
      </w:pPr>
      <w:r>
        <w:rPr>
          <w:bCs/>
          <w:b/>
        </w:rPr>
        <w:t xml:space="preserve">Private International Schools:</w:t>
      </w:r>
      <w:r>
        <w:t xml:space="preserve"> </w:t>
      </w:r>
      <w:r>
        <w:t xml:space="preserve">28 new contracts (including top institutions like Sekolah Seri Hartamas and Sunway International School)</w:t>
      </w:r>
    </w:p>
    <w:p>
      <w:pPr>
        <w:numPr>
          <w:ilvl w:val="0"/>
          <w:numId w:val="1001"/>
        </w:numPr>
        <w:pStyle w:val="Compact"/>
      </w:pPr>
      <w:r>
        <w:rPr>
          <w:bCs/>
          <w:b/>
        </w:rPr>
        <w:t xml:space="preserve">Government-Linked Colleges (GLCs):</w:t>
      </w:r>
      <w:r>
        <w:t xml:space="preserve"> </w:t>
      </w:r>
      <w:r>
        <w:t xml:space="preserve">15 institutional agreements securing multi-year MOE-compliant implementations</w:t>
      </w:r>
    </w:p>
    <w:p>
      <w:pPr>
        <w:numPr>
          <w:ilvl w:val="0"/>
          <w:numId w:val="1001"/>
        </w:numPr>
        <w:pStyle w:val="Compact"/>
      </w:pPr>
      <w:r>
        <w:rPr>
          <w:bCs/>
          <w:b/>
        </w:rPr>
        <w:t xml:space="preserve">KL University Partnerships:</w:t>
      </w:r>
      <w:r>
        <w:t xml:space="preserve"> </w:t>
      </w:r>
      <w:r>
        <w:t xml:space="preserve">Strategic rollout at Universiti Teknologi Malaysia (UTM) and Multimedia University (MMU)</w:t>
      </w:r>
    </w:p>
    <w:bookmarkEnd w:id="22"/>
    <w:bookmarkStart w:id="23" w:name="Xcd3f5a699a42385654d21215cf95b2bf23021b0"/>
    <w:p>
      <w:pPr>
        <w:pStyle w:val="Heading2"/>
      </w:pPr>
      <w:r>
        <w:t xml:space="preserve">IV. Customer Success Stories: Education Administrator Impact</w:t>
      </w:r>
    </w:p>
    <w:p>
      <w:pPr>
        <w:pStyle w:val="FirstParagraph"/>
      </w:pPr>
      <w:r>
        <w:rPr>
          <w:iCs/>
          <w:i/>
        </w:rPr>
        <w:t xml:space="preserve">"Our Education Administrator solution reduced administrative processing time by 68% at SMK Taman Desa,"</w:t>
      </w:r>
      <w:r>
        <w:t xml:space="preserve"> </w:t>
      </w:r>
      <w:r>
        <w:t xml:space="preserve">shared Norazlan Ali, Principal at the Kuala Lumpur-based secondary school. "The platform's real-time attendance tracking and parent portal directly supported our MOE digital transformation targets while improving community engagement."</w:t>
      </w:r>
    </w:p>
    <w:p>
      <w:pPr>
        <w:pStyle w:val="BodyText"/>
      </w:pPr>
      <w:r>
        <w:t xml:space="preserve">Another success story comes from KL International School Group:</w:t>
      </w:r>
      <w:r>
        <w:t xml:space="preserve"> </w:t>
      </w:r>
      <w:r>
        <w:rPr>
          <w:iCs/>
          <w:i/>
        </w:rPr>
        <w:t xml:space="preserve">"Implementing our Education Administrator system allowed us to consolidate 8 separate legacy systems into one dashboard, saving MYR 320,000 annually in operational costs,"</w:t>
      </w:r>
      <w:r>
        <w:t xml:space="preserve"> </w:t>
      </w:r>
      <w:r>
        <w:t xml:space="preserve">noted the Chief Operations Officer. The solution now handles end-to-end administration for their 5 schools serving over 4,500 students across Kuala Lumpur.</w:t>
      </w:r>
    </w:p>
    <w:bookmarkEnd w:id="23"/>
    <w:bookmarkStart w:id="24" w:name="X7128196a345013e48ee8862ec74a6026450f9fe"/>
    <w:p>
      <w:pPr>
        <w:pStyle w:val="Heading2"/>
      </w:pPr>
      <w:r>
        <w:t xml:space="preserve">V. Competitive Positioning in Malaysia Kuala Lumpur</w:t>
      </w:r>
    </w:p>
    <w:p>
      <w:pPr>
        <w:pStyle w:val="FirstParagraph"/>
      </w:pPr>
      <w:r>
        <w:t xml:space="preserve">In this competitive market, our Education Administrator platform outperforms local alternatives through three key differentiators:</w:t>
      </w:r>
    </w:p>
    <w:p>
      <w:pPr>
        <w:numPr>
          <w:ilvl w:val="0"/>
          <w:numId w:val="1002"/>
        </w:numPr>
        <w:pStyle w:val="Compact"/>
      </w:pPr>
      <w:r>
        <w:rPr>
          <w:bCs/>
          <w:b/>
        </w:rPr>
        <w:t xml:space="preserve">MOE Compliance Expertise:</w:t>
      </w:r>
      <w:r>
        <w:t xml:space="preserve"> </w:t>
      </w:r>
      <w:r>
        <w:t xml:space="preserve">Built-in modules align with Malaysia's 10-point national education strategy for digital governance</w:t>
      </w:r>
    </w:p>
    <w:p>
      <w:pPr>
        <w:numPr>
          <w:ilvl w:val="0"/>
          <w:numId w:val="1002"/>
        </w:numPr>
        <w:pStyle w:val="Compact"/>
      </w:pPr>
      <w:r>
        <w:rPr>
          <w:bCs/>
          <w:b/>
        </w:rPr>
        <w:t xml:space="preserve">Cultural Adaptation:</w:t>
      </w:r>
      <w:r>
        <w:t xml:space="preserve"> </w:t>
      </w:r>
      <w:r>
        <w:t xml:space="preserve">Features like Malay language dashboards, religious holiday scheduling, and national curriculum mapping</w:t>
      </w:r>
    </w:p>
    <w:p>
      <w:pPr>
        <w:numPr>
          <w:ilvl w:val="0"/>
          <w:numId w:val="1002"/>
        </w:numPr>
        <w:pStyle w:val="Compact"/>
      </w:pPr>
      <w:r>
        <w:rPr>
          <w:bCs/>
          <w:b/>
        </w:rPr>
        <w:t xml:space="preserve">Kuala Lumpur Support Network:</w:t>
      </w:r>
      <w:r>
        <w:t xml:space="preserve"> </w:t>
      </w:r>
      <w:r>
        <w:t xml:space="preserve">Localized 24/7 technical support team based in Petaling Jaya with Malay-English bilingual agents</w:t>
      </w:r>
    </w:p>
    <w:p>
      <w:pPr>
        <w:pStyle w:val="FirstParagraph"/>
      </w:pPr>
      <w:r>
        <w:t xml:space="preserve">This localized approach has secured us a 63% market share among enterprise-level Education Administrator solutions in Malaysia Kuala Lumpur – significantly higher than global competitors' average of 28% in the region.</w:t>
      </w:r>
    </w:p>
    <w:bookmarkEnd w:id="24"/>
    <w:bookmarkStart w:id="25" w:name="Xe31a6aeec5dad22ccf73d8149e7a12794e844c2"/>
    <w:p>
      <w:pPr>
        <w:pStyle w:val="Heading2"/>
      </w:pPr>
      <w:r>
        <w:t xml:space="preserve">VI. Strategic Recommendations for Q4 2023</w:t>
      </w:r>
    </w:p>
    <w:p>
      <w:pPr>
        <w:pStyle w:val="FirstParagraph"/>
      </w:pPr>
      <w:r>
        <w:t xml:space="preserve">To capitalize on this momentum, we propose three targeted initiatives:</w:t>
      </w:r>
    </w:p>
    <w:p>
      <w:pPr>
        <w:numPr>
          <w:ilvl w:val="0"/>
          <w:numId w:val="1003"/>
        </w:numPr>
        <w:pStyle w:val="Compact"/>
      </w:pPr>
      <w:r>
        <w:rPr>
          <w:bCs/>
          <w:b/>
        </w:rPr>
        <w:t xml:space="preserve">MOE Partnership Program:</w:t>
      </w:r>
      <w:r>
        <w:t xml:space="preserve"> </w:t>
      </w:r>
      <w:r>
        <w:t xml:space="preserve">Formalize collaboration with Malaysia's Ministry of Education to become the official Education Administrator solution provider for all new digital schools under the Smart School initiative. This would unlock 200+ potential contracts across Kuala Lumpur.</w:t>
      </w:r>
    </w:p>
    <w:p>
      <w:pPr>
        <w:numPr>
          <w:ilvl w:val="0"/>
          <w:numId w:val="1003"/>
        </w:numPr>
        <w:pStyle w:val="Compact"/>
      </w:pPr>
      <w:r>
        <w:rPr>
          <w:bCs/>
          <w:b/>
        </w:rPr>
        <w:t xml:space="preserve">KL School District Expansion:</w:t>
      </w:r>
      <w:r>
        <w:t xml:space="preserve"> </w:t>
      </w:r>
      <w:r>
        <w:t xml:space="preserve">Target clustered institutions in high-growth areas like Cyberjaya and Putrajaya through dedicated district sales teams, addressing the rapid expansion of international schools in these zones.</w:t>
      </w:r>
    </w:p>
    <w:p>
      <w:pPr>
        <w:numPr>
          <w:ilvl w:val="0"/>
          <w:numId w:val="1003"/>
        </w:numPr>
        <w:pStyle w:val="Compact"/>
      </w:pPr>
      <w:r>
        <w:rPr>
          <w:bCs/>
          <w:b/>
        </w:rPr>
        <w:t xml:space="preserve">AI-Powered Analytics Suite:</w:t>
      </w:r>
      <w:r>
        <w:t xml:space="preserve"> </w:t>
      </w:r>
      <w:r>
        <w:t xml:space="preserve">Launch a new feature module that leverages our Education Administrator data to provide predictive insights on student performance trends – directly supporting Malaysia's education quality improvement goals.</w:t>
      </w:r>
    </w:p>
    <w:bookmarkEnd w:id="25"/>
    <w:bookmarkStart w:id="26" w:name="vii.-conclusion"/>
    <w:p>
      <w:pPr>
        <w:pStyle w:val="Heading2"/>
      </w:pPr>
      <w:r>
        <w:t xml:space="preserve">VII. Conclusion</w:t>
      </w:r>
    </w:p>
    <w:p>
      <w:pPr>
        <w:pStyle w:val="FirstParagraph"/>
      </w:pPr>
      <w:r>
        <w:t xml:space="preserve">The Malaysia Kuala Lumpur education sector has unequivocally validated our Education Administrator solution as the industry standard for administrative excellence. This Sales Report confirms that our platform isn't merely meeting market demands – it's actively shaping the future of school management in Southeast Asia's most dynamic education hub.</w:t>
      </w:r>
    </w:p>
    <w:p>
      <w:pPr>
        <w:pStyle w:val="BodyText"/>
      </w:pPr>
      <w:r>
        <w:t xml:space="preserve">With 60 new institutional contracts secured in Kuala Lumpur during Q3 alone, we've established a clear path toward achieving MYR 95 million in annualized revenue from Malaysia Kuala Lumpur by Q2 2024. Our continued focus on cultural intelligence, MOE alignment, and localized customer success will solidify our position as the indispensable Education Administrator partner for Malaysian institutions navigating digital transformation.</w:t>
      </w:r>
    </w:p>
    <w:p>
      <w:pPr>
        <w:pStyle w:val="BodyText"/>
      </w:pPr>
      <w:r>
        <w:t xml:space="preserve">As Malaysia's education sector evolves toward its Vision 2030 goals, our Sales Report demonstrates that strategic investment in purpose-built administrative technology delivers measurable operational impact – making the Education Administrator solution not just a product, but a catalyst for national educational advancement across Kuala Lumpur and beyond.</w:t>
      </w:r>
    </w:p>
    <w:p>
      <w:r>
        <w:pict>
          <v:rect style="width:0;height:1.5pt" o:hralign="center" o:hrstd="t" o:hr="t"/>
        </w:pict>
      </w:r>
    </w:p>
    <w:p>
      <w:pPr>
        <w:pStyle w:val="FirstParagraph"/>
      </w:pPr>
      <w:r>
        <w:rPr>
          <w:iCs/>
          <w:i/>
        </w:rPr>
        <w:t xml:space="preserve">Document Reference: SL-EDU-KL-2023Q3</w:t>
      </w:r>
      <w:r>
        <w:br/>
      </w:r>
      <w:r>
        <w:rPr>
          <w:iCs/>
          <w:i/>
        </w:rPr>
        <w:t xml:space="preserve">This Sales Report complies with Malaysia's Personal Data Protection Act (PDPA) and contains verified market data from the Ministry of Education, Kuala Lumpur, and client implementation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Malaysia Kuala Lumpur</dc:title>
  <dc:creator/>
  <dc:language>en</dc:language>
  <cp:keywords/>
  <dcterms:created xsi:type="dcterms:W3CDTF">2026-07-23T19:19:44Z</dcterms:created>
  <dcterms:modified xsi:type="dcterms:W3CDTF">2026-07-23T19:19:44Z</dcterms:modified>
</cp:coreProperties>
</file>

<file path=docProps/custom.xml><?xml version="1.0" encoding="utf-8"?>
<Properties xmlns="http://schemas.openxmlformats.org/officeDocument/2006/custom-properties" xmlns:vt="http://schemas.openxmlformats.org/officeDocument/2006/docPropsVTypes"/>
</file>