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Solutions</w:t>
      </w:r>
      <w:r>
        <w:t xml:space="preserve"> </w:t>
      </w:r>
      <w:r>
        <w:t xml:space="preserve">in</w:t>
      </w:r>
      <w:r>
        <w:t xml:space="preserve"> </w:t>
      </w:r>
      <w:r>
        <w:t xml:space="preserve">Mexico</w:t>
      </w:r>
      <w:r>
        <w:t xml:space="preserve"> </w:t>
      </w:r>
      <w:r>
        <w:t xml:space="preserve">City</w:t>
      </w:r>
    </w:p>
    <w:bookmarkStart w:id="26" w:name="X2f33e4db516a6597c60b60fcf9b52b72e5be8be"/>
    <w:p>
      <w:pPr>
        <w:pStyle w:val="Heading1"/>
      </w:pPr>
      <w:r>
        <w:t xml:space="preserve">Q3 2024 Sales Report: Strategic Growth in Education Administrator Solutions for Mexico City</w:t>
      </w:r>
    </w:p>
    <w:p>
      <w:pPr>
        <w:pStyle w:val="FirstParagraph"/>
      </w:pPr>
      <w:r>
        <w:rPr>
          <w:bCs/>
          <w:b/>
        </w:rPr>
        <w:t xml:space="preserve">Prepared For:</w:t>
      </w:r>
      <w:r>
        <w:t xml:space="preserve"> </w:t>
      </w:r>
      <w:r>
        <w:t xml:space="preserve">Executive Leadership &amp; Strategic Partnerships Division</w:t>
      </w:r>
      <w:r>
        <w:br/>
      </w:r>
      <w:r>
        <w:rPr>
          <w:bCs/>
          <w:b/>
        </w:rPr>
        <w:t xml:space="preserve">Date:</w:t>
      </w:r>
      <w:r>
        <w:t xml:space="preserve"> </w:t>
      </w:r>
      <w:r>
        <w:t xml:space="preserve">October 26, 2024</w:t>
      </w:r>
      <w:r>
        <w:br/>
      </w:r>
      <w:r>
        <w:rPr>
          <w:bCs/>
          <w:b/>
        </w:rPr>
        <w:t xml:space="preserve">Document Focus:</w:t>
      </w:r>
      <w:r>
        <w:t xml:space="preserve"> </w:t>
      </w:r>
      <w:r>
        <w:t xml:space="preserve">Sales Performance, Market Analysis, and Opportunity Assessment for Education Administrator Solutions in Mexico City</w:t>
      </w:r>
    </w:p>
    <w:bookmarkStart w:id="20" w:name="i.-executive-summary"/>
    <w:p>
      <w:pPr>
        <w:pStyle w:val="Heading2"/>
      </w:pPr>
      <w:r>
        <w:t xml:space="preserve">I. Executive Summary</w:t>
      </w:r>
    </w:p>
    <w:p>
      <w:pPr>
        <w:pStyle w:val="FirstParagraph"/>
      </w:pPr>
      <w:r>
        <w:t xml:space="preserve">This report details the Q3 2024 sales performance of our integrated education management platform targeting Education Administrators across Mexico City's public and private educational institutions. The market demonstrated robust growth, with a 37% year-over-year increase in contract acquisitions specifically tailored for Education Administrators operating within Mexico Mexico City's complex urban education ecosystem. Our solutions directly address critical pain points faced by these administrators—streamlining compliance reporting under the</w:t>
      </w:r>
      <w:r>
        <w:t xml:space="preserve"> </w:t>
      </w:r>
      <w:r>
        <w:rPr>
          <w:iCs/>
          <w:i/>
        </w:rPr>
        <w:t xml:space="preserve">LEY GENERAL DE EDUCACIÓN</w:t>
      </w:r>
      <w:r>
        <w:t xml:space="preserve"> </w:t>
      </w:r>
      <w:r>
        <w:t xml:space="preserve">(LGE), optimizing resource allocation across 3,200+ schools in Mexico City, and enhancing data-driven decision-making for student outcomes. The Mexico City market contributed 41% of our total Latin American sales this quarter, underscoring its strategic importance as a high-potential hub for Education Administrator-focused technology adoption.</w:t>
      </w:r>
    </w:p>
    <w:bookmarkEnd w:id="20"/>
    <w:bookmarkStart w:id="21" w:name="Xf632d598abeb720c4ad87869b11a86b97dddb75"/>
    <w:p>
      <w:pPr>
        <w:pStyle w:val="Heading2"/>
      </w:pPr>
      <w:r>
        <w:t xml:space="preserve">II. Mexico City Market Analysis: Why Education Administrators are the Critical Success Factor</w:t>
      </w:r>
    </w:p>
    <w:p>
      <w:pPr>
        <w:pStyle w:val="FirstParagraph"/>
      </w:pPr>
      <w:r>
        <w:t xml:space="preserve">Mexico City presents a unique and demanding landscape for education technology solutions, with over 5.8 million students across municipal, state, and federal schools—a figure representing 17% of Mexico’s entire student population. Education Administrators in Mexico City face unprecedented challenges: aging infrastructure (63% of public schools lack digital tools), stringent federal compliance requirements under the</w:t>
      </w:r>
      <w:r>
        <w:t xml:space="preserve"> </w:t>
      </w:r>
      <w:r>
        <w:rPr>
          <w:iCs/>
          <w:i/>
        </w:rPr>
        <w:t xml:space="preserve">Programa Escuelas de Tiempo Completo</w:t>
      </w:r>
      <w:r>
        <w:t xml:space="preserve">, and rising parental demands for transparent academic tracking. These administrators are not merely purchasers—they are the central decision-makers responsible for implementing systems that impact millions of students daily.</w:t>
      </w:r>
    </w:p>
    <w:p>
      <w:pPr>
        <w:pStyle w:val="BodyText"/>
      </w:pPr>
      <w:r>
        <w:t xml:space="preserve">Our market research (conducted in collaboration with the Secretaría de Educación Pública - SEP) reveals that 89% of Education Administrators in Mexico City cite "inefficient administrative processes" as their top challenge. This creates a direct, urgent need for our platform's automated compliance dashboard, real-time enrollment analytics, and parent-teacher communication modules—features explicitly designed to solve the daily operational burdens faced by Education Administrators in Mexico City. The city’s dense urban environment (over 21 million residents) amplifies these challenges; schools in districts like Coyoacán or Cuauhtémoc manage student populations exceeding 5,000 with limited administrative staff, making our solution's efficiency gains particularly valuable.</w:t>
      </w:r>
    </w:p>
    <w:bookmarkEnd w:id="21"/>
    <w:bookmarkStart w:id="22" w:name="X2ab54b2383ceb73e8d0083045fcea19d3488672"/>
    <w:p>
      <w:pPr>
        <w:pStyle w:val="Heading2"/>
      </w:pPr>
      <w:r>
        <w:t xml:space="preserve">III. Q3 Sales Performance: Education Administrator Acquisition Metrics</w:t>
      </w:r>
    </w:p>
    <w:p>
      <w:pPr>
        <w:pStyle w:val="FirstParagraph"/>
      </w:pPr>
      <w:r>
        <w:t xml:space="preserve">The Mexico City sales pipeline saw unprecedented activity focused exclusively on Education Administrators. Key highlights include:</w:t>
      </w:r>
    </w:p>
    <w:p>
      <w:pPr>
        <w:numPr>
          <w:ilvl w:val="0"/>
          <w:numId w:val="1001"/>
        </w:numPr>
        <w:pStyle w:val="Compact"/>
      </w:pPr>
      <w:r>
        <w:rPr>
          <w:bCs/>
          <w:b/>
        </w:rPr>
        <w:t xml:space="preserve">Contract Value Growth:</w:t>
      </w:r>
      <w:r>
        <w:t xml:space="preserve"> </w:t>
      </w:r>
      <w:r>
        <w:t xml:space="preserve">$1.85M in new contracts (up 37% YoY), with an average deal size of $42,000—15% higher than the regional average due to Mexico City's complex institutional needs.</w:t>
      </w:r>
    </w:p>
    <w:p>
      <w:pPr>
        <w:numPr>
          <w:ilvl w:val="0"/>
          <w:numId w:val="1001"/>
        </w:numPr>
        <w:pStyle w:val="Compact"/>
      </w:pPr>
      <w:r>
        <w:rPr>
          <w:bCs/>
          <w:b/>
        </w:rPr>
        <w:t xml:space="preserve">Client Acquisition:</w:t>
      </w:r>
      <w:r>
        <w:t xml:space="preserve"> </w:t>
      </w:r>
      <w:r>
        <w:t xml:space="preserve">27 new Education Administrators onboarded across key districts (Iztapalapa, Benito Juárez, Tlalpan), including 3 district-level coordinators responsible for over 80 schools each.</w:t>
      </w:r>
    </w:p>
    <w:p>
      <w:pPr>
        <w:numPr>
          <w:ilvl w:val="0"/>
          <w:numId w:val="1001"/>
        </w:numPr>
        <w:pStyle w:val="Compact"/>
      </w:pPr>
      <w:r>
        <w:rPr>
          <w:bCs/>
          <w:b/>
        </w:rPr>
        <w:t xml:space="preserve">Product Adoption:</w:t>
      </w:r>
      <w:r>
        <w:t xml:space="preserve"> </w:t>
      </w:r>
      <w:r>
        <w:t xml:space="preserve">92% of Mexico City clients implemented our "Compliance Manager" module within 30 days—critical for Education Administrators navigating SEP's quarterly reporting deadlines.</w:t>
      </w:r>
    </w:p>
    <w:p>
      <w:pPr>
        <w:numPr>
          <w:ilvl w:val="0"/>
          <w:numId w:val="1001"/>
        </w:numPr>
        <w:pStyle w:val="Compact"/>
      </w:pPr>
      <w:r>
        <w:rPr>
          <w:bCs/>
          <w:b/>
        </w:rPr>
        <w:t xml:space="preserve">Retention Rate:</w:t>
      </w:r>
      <w:r>
        <w:t xml:space="preserve"> </w:t>
      </w:r>
      <w:r>
        <w:t xml:space="preserve">94% renewal rate among existing Mexico City Education Administrators, significantly above the industry average of 82%.</w:t>
      </w:r>
    </w:p>
    <w:p>
      <w:pPr>
        <w:pStyle w:val="FirstParagraph"/>
      </w:pPr>
      <w:r>
        <w:t xml:space="preserve">Crucially, all new contracts were secured through direct engagement with Education Administrators—not procurement departments—proving the effectiveness of our solution's positioning as a strategic tool for their specific role. In Mexico City, where administrators hold ultimate authority over technology adoption (per SEP guidelines), this approach was non-negotiable.</w:t>
      </w:r>
    </w:p>
    <w:bookmarkEnd w:id="22"/>
    <w:bookmarkStart w:id="23" w:name="X5b08729576534346ad07161a5df0392bb53cdad"/>
    <w:p>
      <w:pPr>
        <w:pStyle w:val="Heading2"/>
      </w:pPr>
      <w:r>
        <w:t xml:space="preserve">IV. Competitive Positioning: Why Our Solution Wins with Education Administrators in Mexico City</w:t>
      </w:r>
    </w:p>
    <w:p>
      <w:pPr>
        <w:pStyle w:val="FirstParagraph"/>
      </w:pPr>
      <w:r>
        <w:t xml:space="preserve">Competitors often market generic "edtech" products that fail to address Mexico City's regulatory environment. Our differentiation lies in deep localization:</w:t>
      </w:r>
    </w:p>
    <w:p>
      <w:pPr>
        <w:numPr>
          <w:ilvl w:val="0"/>
          <w:numId w:val="1002"/>
        </w:numPr>
        <w:pStyle w:val="Compact"/>
      </w:pPr>
      <w:r>
        <w:rPr>
          <w:bCs/>
          <w:b/>
        </w:rPr>
        <w:t xml:space="preserve">SEP Compliance Engine:</w:t>
      </w:r>
      <w:r>
        <w:t xml:space="preserve"> </w:t>
      </w:r>
      <w:r>
        <w:t xml:space="preserve">Pre-configured templates for SEP’s mandatory reports (e.g., CIEE, RISE), reducing administrative time by 40%—a priority emphasized by Education Administrators during all Mexico City sales cycles.</w:t>
      </w:r>
    </w:p>
    <w:p>
      <w:pPr>
        <w:numPr>
          <w:ilvl w:val="0"/>
          <w:numId w:val="1002"/>
        </w:numPr>
        <w:pStyle w:val="Compact"/>
      </w:pPr>
      <w:r>
        <w:rPr>
          <w:bCs/>
          <w:b/>
        </w:rPr>
        <w:t xml:space="preserve">Mexico City District Integration:</w:t>
      </w:r>
      <w:r>
        <w:t xml:space="preserve"> </w:t>
      </w:r>
      <w:r>
        <w:t xml:space="preserve">Seamless compatibility with the city's unique student ID system (</w:t>
      </w:r>
      <w:r>
        <w:rPr>
          <w:iCs/>
          <w:i/>
        </w:rPr>
        <w:t xml:space="preserve">Clave Única de Registro de Población</w:t>
      </w:r>
      <w:r>
        <w:t xml:space="preserve">), a requirement our competitors overlooked.</w:t>
      </w:r>
    </w:p>
    <w:p>
      <w:pPr>
        <w:numPr>
          <w:ilvl w:val="0"/>
          <w:numId w:val="1002"/>
        </w:numPr>
        <w:pStyle w:val="Compact"/>
      </w:pPr>
      <w:r>
        <w:rPr>
          <w:bCs/>
          <w:b/>
        </w:rPr>
        <w:t xml:space="preserve">Cultural Relevance:</w:t>
      </w:r>
      <w:r>
        <w:t xml:space="preserve"> </w:t>
      </w:r>
      <w:r>
        <w:t xml:space="preserve">All training materials delivered in Mexican Spanish with examples from Mexico City schools (e.g., case studies from Escuela Secundaria Técnica 149 in Iztapalapa), building immediate trust with Education Administrators.</w:t>
      </w:r>
    </w:p>
    <w:p>
      <w:pPr>
        <w:pStyle w:val="FirstParagraph"/>
      </w:pPr>
      <w:r>
        <w:t xml:space="preserve">This localized approach directly resonated during our Q3 Mexico City sales meetings. One Education Administrator from a high-need school in Azcapotzalco stated: "Your platform understands the *real* work we do in Mexico City—it’s not just software; it’s a tool designed for us." This sentiment was echoed in 92% of post-sale client interviews.</w:t>
      </w:r>
    </w:p>
    <w:bookmarkEnd w:id="23"/>
    <w:bookmarkStart w:id="24" w:name="v.-strategic-recommendations-for-q4-2024"/>
    <w:p>
      <w:pPr>
        <w:pStyle w:val="Heading2"/>
      </w:pPr>
      <w:r>
        <w:t xml:space="preserve">V. Strategic Recommendations for Q4 2024</w:t>
      </w:r>
    </w:p>
    <w:p>
      <w:pPr>
        <w:pStyle w:val="FirstParagraph"/>
      </w:pPr>
      <w:r>
        <w:t xml:space="preserve">To capitalize on Mexico City's momentum, we recommend:</w:t>
      </w:r>
    </w:p>
    <w:p>
      <w:pPr>
        <w:numPr>
          <w:ilvl w:val="0"/>
          <w:numId w:val="1003"/>
        </w:numPr>
        <w:pStyle w:val="Compact"/>
      </w:pPr>
      <w:r>
        <w:rPr>
          <w:bCs/>
          <w:b/>
        </w:rPr>
        <w:t xml:space="preserve">Expand Education Administrator Advisory Council:</w:t>
      </w:r>
      <w:r>
        <w:t xml:space="preserve"> </w:t>
      </w:r>
      <w:r>
        <w:t xml:space="preserve">Recruit 5 additional Mexico City-based Education Administrators (including a representative from the SEP’s Distrito Federal office) to co-design upcoming features. This will deepen trust and ensure ongoing relevance.</w:t>
      </w:r>
    </w:p>
    <w:p>
      <w:pPr>
        <w:numPr>
          <w:ilvl w:val="0"/>
          <w:numId w:val="1003"/>
        </w:numPr>
        <w:pStyle w:val="Compact"/>
      </w:pPr>
      <w:r>
        <w:rPr>
          <w:bCs/>
          <w:b/>
        </w:rPr>
        <w:t xml:space="preserve">Prioritize Municipal School Partnerships:</w:t>
      </w:r>
      <w:r>
        <w:t xml:space="preserve"> </w:t>
      </w:r>
      <w:r>
        <w:t xml:space="preserve">Target the 45 municipal districts in Mexico City where Education Administrators have budget autonomy for technology—representing a $8.2M addressable market this quarter alone.</w:t>
      </w:r>
    </w:p>
    <w:p>
      <w:pPr>
        <w:numPr>
          <w:ilvl w:val="0"/>
          <w:numId w:val="1003"/>
        </w:numPr>
        <w:pStyle w:val="Compact"/>
      </w:pPr>
      <w:r>
        <w:rPr>
          <w:bCs/>
          <w:b/>
        </w:rPr>
        <w:t xml:space="preserve">Launch "Mexico City Admin Summit":</w:t>
      </w:r>
      <w:r>
        <w:t xml:space="preserve"> </w:t>
      </w:r>
      <w:r>
        <w:t xml:space="preserve">Host an exclusive conference in Polanco, Mexico City, featuring SEP officials and top-performing Education Administrators to showcase ROI data. This event will leverage the city’s educational leadership community for peer-driven adoption.</w:t>
      </w:r>
    </w:p>
    <w:bookmarkEnd w:id="24"/>
    <w:bookmarkStart w:id="25" w:name="X5f67afd267cd02ffae433512202ea28e4687383"/>
    <w:p>
      <w:pPr>
        <w:pStyle w:val="Heading2"/>
      </w:pPr>
      <w:r>
        <w:t xml:space="preserve">VI. Conclusion: The Education Administrator as the Engine of Growth</w:t>
      </w:r>
    </w:p>
    <w:p>
      <w:pPr>
        <w:pStyle w:val="FirstParagraph"/>
      </w:pPr>
      <w:r>
        <w:t xml:space="preserve">Mexico City is no longer just a sales market—it is our flagship proving ground for Education Administrator-focused solutions. The success this quarter demonstrates that when technology aligns precisely with the operational reality of Education Administrators in Mexico City, adoption accelerates exponentially. Our Q3 results (37% YoY growth, 94% retention) are not anomalies but evidence of a scalable model built around the unique needs of these critical decision-makers within Mexico’s largest urban education system.</w:t>
      </w:r>
    </w:p>
    <w:p>
      <w:pPr>
        <w:pStyle w:val="BodyText"/>
      </w:pPr>
      <w:r>
        <w:t xml:space="preserve">As we move into Q4, our entire sales strategy must remain laser-focused on Education Administrators in Mexico City. This isn't about selling software; it's about empowering the professionals who shape educational outcomes for 5.8 million students daily. The data from Mexico City proves that when solutions are designed *for* these administrators—not just *to* them—the results transform market dynamics. We will not rest until our platform is the undisputed standard for Education Administrators navigating the complexities of Mexico Mexico City's education landscape.</w:t>
      </w:r>
    </w:p>
    <w:p>
      <w:pPr>
        <w:pStyle w:val="BodyText"/>
      </w:pPr>
      <w:r>
        <w:rPr>
          <w:iCs/>
          <w:i/>
        </w:rPr>
        <w:t xml:space="preserve">Prepared by: Global Sales &amp; Strategy Division</w:t>
      </w:r>
      <w:r>
        <w:br/>
      </w:r>
      <w:r>
        <w:rPr>
          <w:iCs/>
          <w:i/>
        </w:rPr>
        <w:t xml:space="preserve">Endorsed by: Chief Revenue Officer, Latin America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Education Administrator Solutions in Mexico City</dc:title>
  <dc:creator/>
  <dc:language>en</dc:language>
  <cp:keywords/>
  <dcterms:created xsi:type="dcterms:W3CDTF">2026-07-25T00:01:39Z</dcterms:created>
  <dcterms:modified xsi:type="dcterms:W3CDTF">2026-07-25T00:01:39Z</dcterms:modified>
</cp:coreProperties>
</file>

<file path=docProps/custom.xml><?xml version="1.0" encoding="utf-8"?>
<Properties xmlns="http://schemas.openxmlformats.org/officeDocument/2006/custom-properties" xmlns:vt="http://schemas.openxmlformats.org/officeDocument/2006/docPropsVTypes"/>
</file>