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Netherlands</w:t>
      </w:r>
      <w:r>
        <w:t xml:space="preserve"> </w:t>
      </w:r>
      <w:r>
        <w:t xml:space="preserve">Amsterdam</w:t>
      </w:r>
    </w:p>
    <w:bookmarkStart w:id="28" w:name="Xb895a8473ae3c3e8263760e00fa2c6771a82cd0"/>
    <w:p>
      <w:pPr>
        <w:pStyle w:val="Heading1"/>
      </w:pPr>
      <w:r>
        <w:t xml:space="preserve">Sales Report: Education Administrator Market Analysis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executive-summary"/>
    <w:p>
      <w:pPr>
        <w:pStyle w:val="Heading2"/>
      </w:pPr>
      <w:r>
        <w:t xml:space="preserve">1. Executive Summary</w:t>
      </w:r>
    </w:p>
    <w:p>
      <w:pPr>
        <w:pStyle w:val="FirstParagraph"/>
      </w:pPr>
      <w:r>
        <w:t xml:space="preserve">This Sales Report details our strategic performance in targeting Education Administrator roles across educational institutions in Netherlands Amsterdam. As the leading provider of integrated school management solutions, we achieved a 17% year-over-year increase in sales to Education Administrators within Amsterdam's education ecosystem during Q3 2023. Our focus on aligning technology solutions with the unique regulatory and operational demands of Dutch educational administration has positioned us as a trusted partner for institutions navigating the evolving landscape of education management. This document provides comprehensive insights into market dynamics, performance metrics, and strategic recommendations specific to the Netherlands Amsterdam context.</w:t>
      </w:r>
    </w:p>
    <w:bookmarkEnd w:id="20"/>
    <w:bookmarkStart w:id="21" w:name="X9c98050d1fd8912e12feadc9c57f37c454d9f16"/>
    <w:p>
      <w:pPr>
        <w:pStyle w:val="Heading2"/>
      </w:pPr>
      <w:r>
        <w:t xml:space="preserve">2. Market Context: Education Administrator Landscape in Netherlands Amsterdam</w:t>
      </w:r>
    </w:p>
    <w:p>
      <w:pPr>
        <w:pStyle w:val="FirstParagraph"/>
      </w:pPr>
      <w:r>
        <w:t xml:space="preserve">The education sector in Netherlands Amsterdam represents a high-potential market with over 350 public and private institutions employing more than 15,000 Education Administrators. These professionals face mounting pressure to implement compliant digital solutions under the Dutch Ministry of Education's 'School Management Directive' (2022), creating significant demand for our integrated platform. Amsterdam's unique position as a hub for international schools (including 47 IB World Schools) and its stringent GDPR compliance requirements have made it a critical focus area for our sales strategy.</w:t>
      </w:r>
    </w:p>
    <w:p>
      <w:pPr>
        <w:pStyle w:val="BodyText"/>
      </w:pPr>
      <w:r>
        <w:t xml:space="preserve">Education Administrators in Amsterdam prioritize solutions that simplify administrative workflows while ensuring adherence to Dutch educational standards. Our Q3 research indicates 83% of Education Administrators in Netherlands Amsterdam now require vendor partnerships that demonstrate deep understanding of local regulations – a key differentiator we've leveraged through our dedicated Amsterdam-based compliance team.</w:t>
      </w:r>
    </w:p>
    <w:bookmarkEnd w:id="21"/>
    <w:bookmarkStart w:id="22" w:name="Xb8069f1b3a009720f0034455cc52e96e9d1f3fd"/>
    <w:p>
      <w:pPr>
        <w:pStyle w:val="Heading2"/>
      </w:pPr>
      <w:r>
        <w:t xml:space="preserve">3. Sales Performance Metrics: Netherlands Amsterdam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Education Administrator Contracts Signed</w:t>
      </w:r>
    </w:p>
    <w:p>
      <w:pPr>
        <w:pStyle w:val="BodyText"/>
      </w:pPr>
      <w:r>
        <w:t xml:space="preserve">47</w:t>
      </w:r>
    </w:p>
    <w:p>
      <w:pPr>
        <w:pStyle w:val="BodyText"/>
      </w:pPr>
      <w:r>
        <w:t xml:space="preserve">38</w:t>
      </w:r>
    </w:p>
    <w:p>
      <w:pPr>
        <w:pStyle w:val="BodyText"/>
      </w:pPr>
      <w:r>
        <w:t xml:space="preserve">+23.7%</w:t>
      </w:r>
    </w:p>
    <w:p>
      <w:pPr>
        <w:pStyle w:val="BodyText"/>
      </w:pPr>
      <w:r>
        <w:t xml:space="preserve">Total Revenue from Amsterdam Institutions</w:t>
      </w:r>
    </w:p>
    <w:p>
      <w:pPr>
        <w:pStyle w:val="BodyText"/>
      </w:pPr>
      <w:r>
        <w:t xml:space="preserve">€1,285,000</w:t>
      </w:r>
    </w:p>
    <w:p>
      <w:pPr>
        <w:pStyle w:val="BodyText"/>
      </w:pPr>
      <w:r>
        <w:t xml:space="preserve">€1,092,500</w:t>
      </w:r>
    </w:p>
    <w:p>
      <w:pPr>
        <w:pStyle w:val="BodyText"/>
      </w:pPr>
      <w:r>
        <w:t xml:space="preserve">+17.6%</w:t>
      </w:r>
    </w:p>
    <w:p>
      <w:pPr>
        <w:pStyle w:val="BodyText"/>
      </w:pPr>
      <w:r>
        <w:t xml:space="preserve">Conversion Rate (Lead to Contract)</w:t>
      </w:r>
    </w:p>
    <w:p>
      <w:pPr>
        <w:pStyle w:val="BodyText"/>
      </w:pPr>
      <w:r>
        <w:t xml:space="preserve">38.2%</w:t>
      </w:r>
    </w:p>
    <w:p>
      <w:pPr>
        <w:pStyle w:val="BodyText"/>
      </w:pPr>
      <w:r>
        <w:t xml:space="preserve">32.4%</w:t>
      </w:r>
    </w:p>
    <w:p>
      <w:pPr>
        <w:pStyle w:val="BodyText"/>
      </w:pPr>
      <w:r>
        <w:t xml:space="preserve">+5.8 pts</w:t>
      </w:r>
    </w:p>
    <w:p>
      <w:pPr>
        <w:pStyle w:val="BodyText"/>
      </w:pPr>
      <w:r>
        <w:t xml:space="preserve">Market Share in Amsterdam Education Admin Solutions</w:t>
      </w:r>
    </w:p>
    <w:p>
      <w:pPr>
        <w:pStyle w:val="BodyText"/>
      </w:pPr>
      <w:r>
        <w:t xml:space="preserve">#2 (19% share vs 15% in Q3 2022)</w:t>
      </w:r>
    </w:p>
    <w:p>
      <w:pPr>
        <w:pStyle w:val="BodyText"/>
      </w:pPr>
      <w:r>
        <w:t xml:space="preserve">Key drivers behind this performance include our successful Amsterdam-specific sales training program for field representatives and the launch of our 'Nederlandse Educatie' compliance module. This localized solution reduced onboarding time by 40% for Education Administrators transitioning from legacy systems, directly addressing a critical pain point identified in our Q2 stakeholder interviews.</w:t>
      </w:r>
    </w:p>
    <w:bookmarkEnd w:id="22"/>
    <w:bookmarkStart w:id="23" w:name="X99ceba67808a3aa1d849cc3b7ec3652f68b4eea"/>
    <w:p>
      <w:pPr>
        <w:pStyle w:val="Heading2"/>
      </w:pPr>
      <w:r>
        <w:t xml:space="preserve">4. Success Story: Amsterdam School District Partnership</w:t>
      </w:r>
    </w:p>
    <w:p>
      <w:pPr>
        <w:pStyle w:val="FirstParagraph"/>
      </w:pPr>
      <w:r>
        <w:t xml:space="preserve">A landmark deal with the Amsterdam Municipal Education Office (AMO) exemplifies our approach. As the largest Education Administrator body in Netherlands, AMO manages 98 schools and employs over 1,200 administrators. Our team conducted three on-site workshops at their headquarters in Zuidas to co-design a solution meeting Dutch 'Educatie en Inclusie' standards. The result: a €425,000 implementation contract covering all schools with 18-month renewal options – our largest single Education Administrator deal in Amsterdam history.</w:t>
      </w:r>
    </w:p>
    <w:p>
      <w:pPr>
        <w:pStyle w:val="BodyText"/>
      </w:pPr>
      <w:r>
        <w:t xml:space="preserve">This partnership demonstrates our core sales methodology: rather than selling features, we solve the specific operational challenges faced by Education Administrators in Netherlands Amsterdam. The AMO case study was instrumental in securing three additional institutional contracts within 30 days through referral networks established during the implementation phase.</w:t>
      </w:r>
    </w:p>
    <w:bookmarkEnd w:id="23"/>
    <w:bookmarkStart w:id="24" w:name="challenges-strategic-adaptations"/>
    <w:p>
      <w:pPr>
        <w:pStyle w:val="Heading2"/>
      </w:pPr>
      <w:r>
        <w:t xml:space="preserve">5. Challenges &amp; Strategic Adaptations</w:t>
      </w:r>
    </w:p>
    <w:p>
      <w:pPr>
        <w:pStyle w:val="FirstParagraph"/>
      </w:pPr>
      <w:r>
        <w:t xml:space="preserve">Our Q3 analysis identified two persistent challenges requiring nuanced responses for Education Administrator sales in Amsterdam:</w:t>
      </w:r>
    </w:p>
    <w:p>
      <w:pPr>
        <w:numPr>
          <w:ilvl w:val="0"/>
          <w:numId w:val="1001"/>
        </w:numPr>
        <w:pStyle w:val="Compact"/>
      </w:pPr>
      <w:r>
        <w:rPr>
          <w:bCs/>
          <w:b/>
        </w:rPr>
        <w:t xml:space="preserve">Cultural Communication Preferences:</w:t>
      </w:r>
      <w:r>
        <w:t xml:space="preserve"> </w:t>
      </w:r>
      <w:r>
        <w:t xml:space="preserve">Dutch Education Administrators value direct communication with minimal hierarchical barriers. We adapted by implementing a 'No-Call' policy – all initial engagements must occur via scheduled video meetings at the administrator's convenience. This increased meeting attendance rates by 62%.</w:t>
      </w:r>
    </w:p>
    <w:p>
      <w:pPr>
        <w:numPr>
          <w:ilvl w:val="0"/>
          <w:numId w:val="1001"/>
        </w:numPr>
        <w:pStyle w:val="Compact"/>
      </w:pPr>
      <w:r>
        <w:rPr>
          <w:bCs/>
          <w:b/>
        </w:rPr>
        <w:t xml:space="preserve">Regulatory Complexity:</w:t>
      </w:r>
      <w:r>
        <w:t xml:space="preserve"> </w:t>
      </w:r>
      <w:r>
        <w:t xml:space="preserve">The Dutch education sector requires constant compliance updates under the 'Wet op het Onderwijs'. We created a dedicated Amsterdam Compliance Task Force that provides real-time regulatory alerts to Education Administrators – reducing their risk exposure by 73% per our client satisfaction survey.</w:t>
      </w:r>
    </w:p>
    <w:bookmarkEnd w:id="24"/>
    <w:bookmarkStart w:id="25" w:name="Xa4e90a1a324e3a696ed120d471131e2bea4e400"/>
    <w:p>
      <w:pPr>
        <w:pStyle w:val="Heading2"/>
      </w:pPr>
      <w:r>
        <w:t xml:space="preserve">6. Opportunities in Netherlands Amsterdam Education Market</w:t>
      </w:r>
    </w:p>
    <w:p>
      <w:pPr>
        <w:pStyle w:val="FirstParagraph"/>
      </w:pPr>
      <w:r>
        <w:t xml:space="preserve">Emerging opportunities for focused sales efforts include:</w:t>
      </w:r>
    </w:p>
    <w:p>
      <w:pPr>
        <w:numPr>
          <w:ilvl w:val="0"/>
          <w:numId w:val="1002"/>
        </w:numPr>
        <w:pStyle w:val="Compact"/>
      </w:pPr>
      <w:r>
        <w:rPr>
          <w:bCs/>
          <w:b/>
        </w:rPr>
        <w:t xml:space="preserve">International School Expansion:</w:t>
      </w:r>
      <w:r>
        <w:t xml:space="preserve"> </w:t>
      </w:r>
      <w:r>
        <w:t xml:space="preserve">29% of Amsterdam's schools are international (IB/IBDP), creating demand for multilingual administrative solutions. Our Q3 pilot with International School Amsterdam yielded a 92% retention rate on our localized English-Dutch interface.</w:t>
      </w:r>
    </w:p>
    <w:p>
      <w:pPr>
        <w:numPr>
          <w:ilvl w:val="0"/>
          <w:numId w:val="1002"/>
        </w:numPr>
        <w:pStyle w:val="Compact"/>
      </w:pPr>
      <w:r>
        <w:rPr>
          <w:bCs/>
          <w:b/>
        </w:rPr>
        <w:t xml:space="preserve">Sustainability Requirements:</w:t>
      </w:r>
      <w:r>
        <w:t xml:space="preserve"> </w:t>
      </w:r>
      <w:r>
        <w:t xml:space="preserve">Dutch education policy now mandates carbon footprint tracking. We launched a 'Green School Admin' module that integrates with existing systems, generating €210k in qualified leads from Education Administrators in Q3 alone.</w:t>
      </w:r>
    </w:p>
    <w:p>
      <w:pPr>
        <w:numPr>
          <w:ilvl w:val="0"/>
          <w:numId w:val="1002"/>
        </w:numPr>
        <w:pStyle w:val="Compact"/>
      </w:pPr>
      <w:r>
        <w:rPr>
          <w:bCs/>
          <w:b/>
        </w:rPr>
        <w:t xml:space="preserve">Post-Pandemic Digital Transformation:</w:t>
      </w:r>
      <w:r>
        <w:t xml:space="preserve"> </w:t>
      </w:r>
      <w:r>
        <w:t xml:space="preserve">76% of Amsterdam Education Administrators reported needing improved hybrid learning management capabilities. Our integrated platform now includes 'Amsterdam Hybrid Learning Suite' as standard – driving 58% higher upsell rates.</w:t>
      </w:r>
    </w:p>
    <w:bookmarkEnd w:id="25"/>
    <w:bookmarkStart w:id="26" w:name="strategic-recommendations-for-q4-2023"/>
    <w:p>
      <w:pPr>
        <w:pStyle w:val="Heading2"/>
      </w:pPr>
      <w:r>
        <w:t xml:space="preserve">7. Strategic Recommendations for Q4 2023</w:t>
      </w:r>
    </w:p>
    <w:p>
      <w:pPr>
        <w:pStyle w:val="FirstParagraph"/>
      </w:pPr>
      <w:r>
        <w:t xml:space="preserve">To maintain momentum in the Netherlands Amsterdam education market, we recommend:</w:t>
      </w:r>
    </w:p>
    <w:p>
      <w:pPr>
        <w:numPr>
          <w:ilvl w:val="0"/>
          <w:numId w:val="1003"/>
        </w:numPr>
        <w:pStyle w:val="Compact"/>
      </w:pPr>
      <w:r>
        <w:rPr>
          <w:bCs/>
          <w:b/>
        </w:rPr>
        <w:t xml:space="preserve">Amsterdam Education Administrator Summit:</w:t>
      </w:r>
      <w:r>
        <w:t xml:space="preserve"> </w:t>
      </w:r>
      <w:r>
        <w:t xml:space="preserve">Host a dedicated event at A'DAM Tower featuring Dutch Ministry of Education representatives and peer Education Administrators. Target: 150+ attendees to accelerate pipeline development.</w:t>
      </w:r>
    </w:p>
    <w:p>
      <w:pPr>
        <w:numPr>
          <w:ilvl w:val="0"/>
          <w:numId w:val="1003"/>
        </w:numPr>
        <w:pStyle w:val="Compact"/>
      </w:pPr>
      <w:r>
        <w:rPr>
          <w:bCs/>
          <w:b/>
        </w:rPr>
        <w:t xml:space="preserve">Netherlands-Specific Training:</w:t>
      </w:r>
      <w:r>
        <w:t xml:space="preserve"> </w:t>
      </w:r>
      <w:r>
        <w:t xml:space="preserve">Develop mandatory certification for sales staff covering Dutch education regulations (specifically the 'Basisplan Onderwijs' framework). Requires €48k investment but projected to increase conversion rates by 8-10%.</w:t>
      </w:r>
    </w:p>
    <w:p>
      <w:pPr>
        <w:numPr>
          <w:ilvl w:val="0"/>
          <w:numId w:val="1003"/>
        </w:numPr>
        <w:pStyle w:val="Compact"/>
      </w:pPr>
      <w:r>
        <w:rPr>
          <w:bCs/>
          <w:b/>
        </w:rPr>
        <w:t xml:space="preserve">Partnership with Amsterdam School Board:</w:t>
      </w:r>
      <w:r>
        <w:t xml:space="preserve"> </w:t>
      </w:r>
      <w:r>
        <w:t xml:space="preserve">Formalize a strategic alliance for co-marketing initiatives targeting Education Administrators. This would leverage their existing relationships to reduce customer acquisition costs by 32%.</w:t>
      </w:r>
    </w:p>
    <w:bookmarkEnd w:id="26"/>
    <w:bookmarkStart w:id="27" w:name="conclusion"/>
    <w:p>
      <w:pPr>
        <w:pStyle w:val="Heading2"/>
      </w:pPr>
      <w:r>
        <w:t xml:space="preserve">8. Conclusion</w:t>
      </w:r>
    </w:p>
    <w:p>
      <w:pPr>
        <w:pStyle w:val="FirstParagraph"/>
      </w:pPr>
      <w:r>
        <w:t xml:space="preserve">This Sales Report confirms the Netherlands Amsterdam market has become a cornerstone of our European strategy, with Education Administrator relationships driving sustainable revenue growth through compliance-focused solutions. Our 17.6% YoY revenue increase from Amsterdam institutions demonstrates that deep localization – understanding both the operational realities and regulatory environment specific to Education Administrators in this city – is not merely beneficial but essential for market leadership.</w:t>
      </w:r>
    </w:p>
    <w:p>
      <w:pPr>
        <w:pStyle w:val="BodyText"/>
      </w:pPr>
      <w:r>
        <w:t xml:space="preserve">As we move into Q4, we will intensify our focus on the Amsterdam education ecosystem where every implementation represents a strategic foothold in the Netherlands' most dynamic educational market. The success of our current approach proves that when sales strategies are meticulously aligned with the unique role of Education Administrators in Netherlands Amsterdam – rather than applying generic solutions – we achieve not just transactions, but transformative partnerships that redefine educational administration standards across the region.</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salesintelligence@edusolutions.nl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Netherlands Amsterdam</dc:title>
  <dc:creator/>
  <dc:language>en</dc:language>
  <cp:keywords/>
  <dcterms:created xsi:type="dcterms:W3CDTF">2025-12-10T14:20:13Z</dcterms:created>
  <dcterms:modified xsi:type="dcterms:W3CDTF">2025-12-10T14:20:13Z</dcterms:modified>
</cp:coreProperties>
</file>

<file path=docProps/custom.xml><?xml version="1.0" encoding="utf-8"?>
<Properties xmlns="http://schemas.openxmlformats.org/officeDocument/2006/custom-properties" xmlns:vt="http://schemas.openxmlformats.org/officeDocument/2006/docPropsVTypes"/>
</file>