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Performance</w:t>
      </w:r>
      <w:r>
        <w:t xml:space="preserve"> </w:t>
      </w:r>
      <w:r>
        <w:t xml:space="preserve">&amp;</w:t>
      </w:r>
      <w:r>
        <w:t xml:space="preserve"> </w:t>
      </w:r>
      <w:r>
        <w:t xml:space="preserve">Strategic</w:t>
      </w:r>
      <w:r>
        <w:t xml:space="preserve"> </w:t>
      </w:r>
      <w:r>
        <w:t xml:space="preserve">Outlook:</w:t>
      </w:r>
      <w:r>
        <w:t xml:space="preserve"> </w:t>
      </w:r>
      <w:r>
        <w:t xml:space="preserve">Wellington</w:t>
      </w:r>
      <w:r>
        <w:t xml:space="preserve"> </w:t>
      </w:r>
      <w:r>
        <w:t xml:space="preserve">Region</w:t>
      </w:r>
    </w:p>
    <w:bookmarkStart w:id="30" w:name="X8328bb019fafa6f8457d981587f62aaf2e62154"/>
    <w:p>
      <w:pPr>
        <w:pStyle w:val="Heading1"/>
      </w:pPr>
      <w:r>
        <w:t xml:space="preserve">Sales Report: Education Administrator Performance &amp; Strategic Initiatives in New Zealand Wellington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Region Education Board &amp; Ministry of Education Stakeholders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strategic performance and operational outcomes of the Education Administrator role within the Wellington Region of New Zealand. Far from a traditional commercial sales metric, this report quantifies success through student achievement, community engagement, compliance adherence, and resource optimization—all critical to fulfilling our mandate as an Education Administrator in New Zealand's capital city. The Wellington context—characterized by its unique coastal geography, diverse cultural landscape (including significant Māori and Pacific Islander populations), and high educational expectations—demands exceptional administrative acumen. This report confirms the Education Administrator’s pivotal role in driving measurable progress across all Wellington schools under our jurisdiction.</w:t>
      </w:r>
    </w:p>
    <w:bookmarkEnd w:id="20"/>
    <w:bookmarkStart w:id="21" w:name="X105fccd9b508922f55fab2e825dfd81d172638f"/>
    <w:p>
      <w:pPr>
        <w:pStyle w:val="Heading2"/>
      </w:pPr>
      <w:r>
        <w:t xml:space="preserve">Key Performance Indicators (KPIs): Beyond Sales Metrics</w:t>
      </w:r>
    </w:p>
    <w:p>
      <w:pPr>
        <w:pStyle w:val="FirstParagraph"/>
      </w:pPr>
      <w:r>
        <w:t xml:space="preserve">In the New Zealand education sector, "sales" equates to successful outcomes for students and communities. This report benchmarks the Education Administrator’s impact against national priorities and Wellington-specific challenges:</w:t>
      </w:r>
    </w:p>
    <w:p>
      <w:pPr>
        <w:numPr>
          <w:ilvl w:val="0"/>
          <w:numId w:val="1001"/>
        </w:numPr>
        <w:pStyle w:val="Compact"/>
      </w:pPr>
      <w:r>
        <w:rPr>
          <w:bCs/>
          <w:b/>
        </w:rPr>
        <w:t xml:space="preserve">Student Achievement Growth:</w:t>
      </w:r>
      <w:r>
        <w:t xml:space="preserve"> </w:t>
      </w:r>
      <w:r>
        <w:t xml:space="preserve">87% of Wellington schools met or exceeded National Standards in literacy/numeracy (vs. 82% regionally), directly linked to the Education Administrator’s curriculum resource allocation strategy. This represents a 5-point improvement over Q2, driven by targeted teacher support in areas like Te Wharekura o Ngāti Raukawa and Wellington College.</w:t>
      </w:r>
    </w:p>
    <w:p>
      <w:pPr>
        <w:numPr>
          <w:ilvl w:val="0"/>
          <w:numId w:val="1001"/>
        </w:numPr>
        <w:pStyle w:val="Compact"/>
      </w:pPr>
      <w:r>
        <w:rPr>
          <w:bCs/>
          <w:b/>
        </w:rPr>
        <w:t xml:space="preserve">Community Partnership Expansion:</w:t>
      </w:r>
      <w:r>
        <w:t xml:space="preserve"> </w:t>
      </w:r>
      <w:r>
        <w:t xml:space="preserve">14 new collaborative agreements secured with local iwi (e.g., Taranaki Whānau, Wellington City Council), Māori community trusts, and tertiary institutions like Victoria University. These partnerships directly support the Education Administrator’s role in embedding Te Tiriti o Waitangi principles across Wellington schools.</w:t>
      </w:r>
    </w:p>
    <w:p>
      <w:pPr>
        <w:numPr>
          <w:ilvl w:val="0"/>
          <w:numId w:val="1001"/>
        </w:numPr>
        <w:pStyle w:val="Compact"/>
      </w:pPr>
      <w:r>
        <w:rPr>
          <w:bCs/>
          <w:b/>
        </w:rPr>
        <w:t xml:space="preserve">Compliance &amp; Resource Efficiency:</w:t>
      </w:r>
      <w:r>
        <w:t xml:space="preserve"> </w:t>
      </w:r>
      <w:r>
        <w:t xml:space="preserve">100% adherence to NZQA (New Zealand Qualifications Authority) requirements across all Wellington schools reviewed. Administrative cost savings of 8.3% were achieved through centralized procurement systems, freeing funds for targeted student wellbeing programs in high-decile areas like Kilbirnie and Newtown.</w:t>
      </w:r>
    </w:p>
    <w:p>
      <w:pPr>
        <w:numPr>
          <w:ilvl w:val="0"/>
          <w:numId w:val="1001"/>
        </w:numPr>
        <w:pStyle w:val="Compact"/>
      </w:pPr>
      <w:r>
        <w:rPr>
          <w:bCs/>
          <w:b/>
        </w:rPr>
        <w:t xml:space="preserve">Wellington-Specific Engagement:</w:t>
      </w:r>
      <w:r>
        <w:t xml:space="preserve"> </w:t>
      </w:r>
      <w:r>
        <w:t xml:space="preserve">Attendance at 95% of Wellington Region Education Plan (WREP) meetings; direct facilitation of 12 community forums addressing Wellington-specific issues (e.g., coastal school accessibility after winter storms, Māori language immersion demand).</w:t>
      </w:r>
    </w:p>
    <w:bookmarkEnd w:id="21"/>
    <w:bookmarkStart w:id="25" w:name="X4ef889755dd338111240f166c0c641761ca93fe"/>
    <w:p>
      <w:pPr>
        <w:pStyle w:val="Heading2"/>
      </w:pPr>
      <w:r>
        <w:t xml:space="preserve">Strategic Initiatives: Driving Value in New Zealand Wellington</w:t>
      </w:r>
    </w:p>
    <w:p>
      <w:pPr>
        <w:pStyle w:val="FirstParagraph"/>
      </w:pPr>
      <w:r>
        <w:t xml:space="preserve">The Education Administrator’s work is intrinsically tied to the socio-educational fabric of Wellington. Key initiatives this quarter demonstrated exceptional alignment with local needs:</w:t>
      </w:r>
    </w:p>
    <w:bookmarkStart w:id="22" w:name="wellington-inclusive-learning-hubs"/>
    <w:p>
      <w:pPr>
        <w:pStyle w:val="Heading3"/>
      </w:pPr>
      <w:r>
        <w:t xml:space="preserve">1. Wellington Inclusive Learning Hubs</w:t>
      </w:r>
    </w:p>
    <w:p>
      <w:pPr>
        <w:pStyle w:val="FirstParagraph"/>
      </w:pPr>
      <w:r>
        <w:t xml:space="preserve">Launched 3 new community-based learning hubs in underserved Wellington suburbs (Pukekohe, Island Bay, and Taita), funded through the Education Administrator’s successful bid to the Ministry of Education’s Local Improvement Fund. These hubs provide after-school support for Māori and Pasifika students, directly addressing Wellington’s identified achievement gap. Over 450 students enrolled in Q3 alone.</w:t>
      </w:r>
    </w:p>
    <w:bookmarkEnd w:id="22"/>
    <w:bookmarkStart w:id="23" w:name="X4d14bbe2f35144de79e79ca0cfc93a01510402f"/>
    <w:p>
      <w:pPr>
        <w:pStyle w:val="Heading3"/>
      </w:pPr>
      <w:r>
        <w:t xml:space="preserve">2. Digital Infrastructure Upgrade (Wellington-Specific)</w:t>
      </w:r>
    </w:p>
    <w:p>
      <w:pPr>
        <w:pStyle w:val="FirstParagraph"/>
      </w:pPr>
      <w:r>
        <w:t xml:space="preserve">Coordinated a citywide upgrade of digital resources across 28 Wellington schools, prioritizing coastal and rural-access areas impacted by recent weather events. This initiative—managed entirely by the Education Administrator’s team—ensured uninterrupted learning during winter disruptions, supporting the Ministry of Education’s goal for equitable digital access in New Zealand.</w:t>
      </w:r>
    </w:p>
    <w:bookmarkEnd w:id="23"/>
    <w:bookmarkStart w:id="24" w:name="X62c622b17a4499fb1388af4cd218d960206725f"/>
    <w:p>
      <w:pPr>
        <w:pStyle w:val="Heading3"/>
      </w:pPr>
      <w:r>
        <w:t xml:space="preserve">3. Māori &amp; Pacific Islander Student Success Program</w:t>
      </w:r>
    </w:p>
    <w:p>
      <w:pPr>
        <w:pStyle w:val="FirstParagraph"/>
      </w:pPr>
      <w:r>
        <w:t xml:space="preserve">Developed and implemented a culturally responsive program co-designed with Te Wharekura o Ngāti Raukawa leaders. This initiative, central to the Education Administrator’s role under the National Education Plan, resulted in a 12% increase in Māori student retention rates across participating Wellington schools during Q3.</w:t>
      </w:r>
    </w:p>
    <w:bookmarkEnd w:id="24"/>
    <w:bookmarkEnd w:id="25"/>
    <w:bookmarkStart w:id="26" w:name="wellington-regional-challenges-solutions"/>
    <w:p>
      <w:pPr>
        <w:pStyle w:val="Heading2"/>
      </w:pPr>
      <w:r>
        <w:t xml:space="preserve">Wellington Regional Challenges &amp; Solutions</w:t>
      </w:r>
    </w:p>
    <w:p>
      <w:pPr>
        <w:pStyle w:val="FirstParagraph"/>
      </w:pPr>
      <w:r>
        <w:t xml:space="preserve">The unique dynamics of New Zealand Wellington presented specific hurdles this quarter:</w:t>
      </w:r>
    </w:p>
    <w:p>
      <w:pPr>
        <w:numPr>
          <w:ilvl w:val="0"/>
          <w:numId w:val="1002"/>
        </w:numPr>
        <w:pStyle w:val="Compact"/>
      </w:pPr>
      <w:r>
        <w:rPr>
          <w:iCs/>
          <w:i/>
        </w:rPr>
        <w:t xml:space="preserve">Challenge:</w:t>
      </w:r>
      <w:r>
        <w:t xml:space="preserve"> </w:t>
      </w:r>
      <w:r>
        <w:t xml:space="preserve">High teacher turnover in low-decile Wellington schools (e.g., Miramar, Porirua).</w:t>
      </w:r>
      <w:r>
        <w:br/>
      </w:r>
      <w:r>
        <w:rPr>
          <w:iCs/>
          <w:i/>
        </w:rPr>
        <w:t xml:space="preserve">Solution:</w:t>
      </w:r>
      <w:r>
        <w:t xml:space="preserve"> </w:t>
      </w:r>
      <w:r>
        <w:t xml:space="preserve">The Education Administrator spearheaded a targeted mentorship program, partnering with Wellington University’s teaching faculty. Result: 22% reduction in vacancy rates.</w:t>
      </w:r>
    </w:p>
    <w:p>
      <w:pPr>
        <w:numPr>
          <w:ilvl w:val="0"/>
          <w:numId w:val="1002"/>
        </w:numPr>
        <w:pStyle w:val="Compact"/>
      </w:pPr>
      <w:r>
        <w:rPr>
          <w:iCs/>
          <w:i/>
        </w:rPr>
        <w:t xml:space="preserve">Challenge:</w:t>
      </w:r>
      <w:r>
        <w:t xml:space="preserve"> </w:t>
      </w:r>
      <w:r>
        <w:t xml:space="preserve">Demand for Māori-medium education exceeding capacity in Wellington.</w:t>
      </w:r>
      <w:r>
        <w:br/>
      </w:r>
      <w:r>
        <w:rPr>
          <w:iCs/>
          <w:i/>
        </w:rPr>
        <w:t xml:space="preserve">Solution:</w:t>
      </w:r>
      <w:r>
        <w:t xml:space="preserve"> </w:t>
      </w:r>
      <w:r>
        <w:t xml:space="preserve">Successfully advocated for and secured funding to expand Te Kōhanga Reo services at four new locations, directly responding to community needs identified through Wellington’s Education Summit.</w:t>
      </w:r>
    </w:p>
    <w:bookmarkEnd w:id="26"/>
    <w:bookmarkStart w:id="27" w:name="financial-resource-impact"/>
    <w:p>
      <w:pPr>
        <w:pStyle w:val="Heading2"/>
      </w:pPr>
      <w:r>
        <w:t xml:space="preserve">Financial &amp; Resource Impact</w:t>
      </w:r>
    </w:p>
    <w:p>
      <w:pPr>
        <w:pStyle w:val="FirstParagraph"/>
      </w:pPr>
      <w:r>
        <w:t xml:space="preserve">This quarter, the Education Administrator managed a $1.8M regional budget with 96% efficiency. Funds were strategically deployed to:</w:t>
      </w:r>
    </w:p>
    <w:p>
      <w:pPr>
        <w:numPr>
          <w:ilvl w:val="0"/>
          <w:numId w:val="1003"/>
        </w:numPr>
        <w:pStyle w:val="Compact"/>
      </w:pPr>
      <w:r>
        <w:t xml:space="preserve">Support 4 new wellbeing initiatives in Wellington schools (e.g., Mental Health First Aid training for teachers).</w:t>
      </w:r>
    </w:p>
    <w:p>
      <w:pPr>
        <w:numPr>
          <w:ilvl w:val="0"/>
          <w:numId w:val="1003"/>
        </w:numPr>
        <w:pStyle w:val="Compact"/>
      </w:pPr>
      <w:r>
        <w:t xml:space="preserve">Upgrade facilities at Wellington East Girls' College, addressing a long-standing infrastructure deficit.</w:t>
      </w:r>
    </w:p>
    <w:p>
      <w:pPr>
        <w:numPr>
          <w:ilvl w:val="0"/>
          <w:numId w:val="1003"/>
        </w:numPr>
        <w:pStyle w:val="Compact"/>
      </w:pPr>
      <w:r>
        <w:t xml:space="preserve">Fund professional development for 150 teachers across the region on culturally responsive pedagogy—critical for New Zealand’s equity goals.</w:t>
      </w:r>
    </w:p>
    <w:bookmarkEnd w:id="27"/>
    <w:bookmarkStart w:id="28" w:name="Xed06a3206472f98e1909401f75e98122abfdcc8"/>
    <w:p>
      <w:pPr>
        <w:pStyle w:val="Heading2"/>
      </w:pPr>
      <w:r>
        <w:t xml:space="preserve">Future Outlook: Sustaining Success in Wellington</w:t>
      </w:r>
    </w:p>
    <w:p>
      <w:pPr>
        <w:pStyle w:val="FirstParagraph"/>
      </w:pPr>
      <w:r>
        <w:t xml:space="preserve">Looking ahead, the Education Administrator will prioritize:</w:t>
      </w:r>
    </w:p>
    <w:p>
      <w:pPr>
        <w:numPr>
          <w:ilvl w:val="0"/>
          <w:numId w:val="1004"/>
        </w:numPr>
        <w:pStyle w:val="Compact"/>
      </w:pPr>
      <w:r>
        <w:rPr>
          <w:bCs/>
          <w:b/>
        </w:rPr>
        <w:t xml:space="preserve">Deepening Wellington-Specific Partnerships:</w:t>
      </w:r>
      <w:r>
        <w:t xml:space="preserve"> </w:t>
      </w:r>
      <w:r>
        <w:t xml:space="preserve">Expanding collaborations with Te Pūtahi o te Raukawa (Wellington Māori Trust) to co-design next year’s curriculum framework.</w:t>
      </w:r>
    </w:p>
    <w:p>
      <w:pPr>
        <w:numPr>
          <w:ilvl w:val="0"/>
          <w:numId w:val="1004"/>
        </w:numPr>
        <w:pStyle w:val="Compact"/>
      </w:pPr>
      <w:r>
        <w:rPr>
          <w:bCs/>
          <w:b/>
        </w:rPr>
        <w:t xml:space="preserve">Sustainability Integration:</w:t>
      </w:r>
      <w:r>
        <w:t xml:space="preserve"> </w:t>
      </w:r>
      <w:r>
        <w:t xml:space="preserve">Embedding the Wellington Region Climate Action Plan into school sustainability programs, aligning with national education goals.</w:t>
      </w:r>
    </w:p>
    <w:bookmarkEnd w:id="28"/>
    <w:bookmarkStart w:id="29" w:name="Xeb0bd561bc1360c122383b568af97cc2fb0ed1a"/>
    <w:p>
      <w:pPr>
        <w:pStyle w:val="Heading2"/>
      </w:pPr>
      <w:r>
        <w:t xml:space="preserve">Conclusion: The Indispensable Role in New Zealand Wellington</w:t>
      </w:r>
    </w:p>
    <w:p>
      <w:pPr>
        <w:pStyle w:val="FirstParagraph"/>
      </w:pPr>
      <w:r>
        <w:t xml:space="preserve">This Sales Report underscores that the Education Administrator role is not transactional but transformative. In New Zealand Wellington, where educational equity and cultural responsiveness are non-negotiable priorities, this position drives measurable societal impact. The outcomes achieved—increased student engagement, strengthened community partnerships, and alignment with Te Tiriti o Waitangi principles—demonstrate the irreplaceable value of a dedicated Education Administrator operating within the unique context of Wellington. As we progress into 2024, our focus remains steadfast: advancing every learner’s success within New Zealand’s most dynamic educational region. The data is clear: when supported effectively, an Education Administrator delivers excellence that resonates across Wellington and serves as a model for the nation.</w:t>
      </w:r>
    </w:p>
    <w:p>
      <w:pPr>
        <w:pStyle w:val="BodyText"/>
      </w:pPr>
      <w:r>
        <w:rPr>
          <w:bCs/>
          <w:b/>
        </w:rPr>
        <w:t xml:space="preserve">Prepared By:</w:t>
      </w:r>
      <w:r>
        <w:t xml:space="preserve"> </w:t>
      </w:r>
      <w:r>
        <w:t xml:space="preserve">[Name/Department], Education Strategy &amp; Performance Unit</w:t>
      </w:r>
      <w:r>
        <w:br/>
      </w:r>
      <w:r>
        <w:rPr>
          <w:bCs/>
          <w:b/>
        </w:rPr>
        <w:t xml:space="preserve">Contact:</w:t>
      </w:r>
      <w:r>
        <w:t xml:space="preserve"> </w:t>
      </w:r>
      <w:r>
        <w:t xml:space="preserve">education.admin@wellington.education.nz | +64 4 123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Performance &amp; Strategic Outlook: Wellington Region</dc:title>
  <dc:creator/>
  <dc:language>en</dc:language>
  <cp:keywords/>
  <dcterms:created xsi:type="dcterms:W3CDTF">2025-12-10T21:38:21Z</dcterms:created>
  <dcterms:modified xsi:type="dcterms:W3CDTF">2025-12-10T21:38:21Z</dcterms:modified>
</cp:coreProperties>
</file>

<file path=docProps/custom.xml><?xml version="1.0" encoding="utf-8"?>
<Properties xmlns="http://schemas.openxmlformats.org/officeDocument/2006/custom-properties" xmlns:vt="http://schemas.openxmlformats.org/officeDocument/2006/docPropsVTypes"/>
</file>