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Peru</w:t>
      </w:r>
      <w:r>
        <w:t xml:space="preserve"> </w:t>
      </w:r>
      <w:r>
        <w:t xml:space="preserve">Lima</w:t>
      </w:r>
    </w:p>
    <w:bookmarkStart w:id="29" w:name="X4aafa92252a7611bc3959d27ceefb96435eebab"/>
    <w:p>
      <w:pPr>
        <w:pStyle w:val="Heading1"/>
      </w:pPr>
      <w:r>
        <w:t xml:space="preserve">Q3 2024 Sales Performance Report: Strategic Educational Solutions for Lima, Peru</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Executive Leadership Team</w:t>
      </w:r>
      <w:r>
        <w:br/>
      </w:r>
      <w:r>
        <w:rPr>
          <w:bCs/>
          <w:b/>
        </w:rPr>
        <w:t xml:space="preserve">From:</w:t>
      </w:r>
      <w:r>
        <w:t xml:space="preserve"> </w:t>
      </w:r>
      <w:r>
        <w:t xml:space="preserve">Central Peruvian Education Solutions (CPES) - Lima Operations</w:t>
      </w:r>
      <w:r>
        <w:br/>
      </w:r>
      <w:r>
        <w:rPr>
          <w:bCs/>
          <w:b/>
        </w:rPr>
        <w:t xml:space="preserve">Subject:</w:t>
      </w:r>
      <w:r>
        <w:t xml:space="preserve"> </w:t>
      </w:r>
      <w:r>
        <w:t xml:space="preserve">Sales Report &amp; Strategic Insights for Education Administrator Portfolio in Lima, Peru</w:t>
      </w:r>
    </w:p>
    <w:bookmarkStart w:id="20" w:name="i.-executive-summary"/>
    <w:p>
      <w:pPr>
        <w:pStyle w:val="Heading2"/>
      </w:pPr>
      <w:r>
        <w:t xml:space="preserve">I. Executive Summary</w:t>
      </w:r>
    </w:p>
    <w:p>
      <w:pPr>
        <w:pStyle w:val="FirstParagraph"/>
      </w:pPr>
      <w:r>
        <w:t xml:space="preserve">This report details the Q3 2024 sales performance of our educational technology and management solutions portfolio within the Lima Metropolitan Area. As a dedicated Education Administrator focused exclusively on the Peruvian market, we achieved a 15% year-over-year growth in licensed institutional contracts, securing agreements with 38 new public and private schools across high-demand districts including San Isidro, La Molina, and Callao. The success underscores the critical need for scalable administrative solutions within Lima's rapidly evolving education ecosystem. This report emphasizes our strategic alignment with Peru's national education priorities as executed through the Lima office.</w:t>
      </w:r>
    </w:p>
    <w:bookmarkEnd w:id="20"/>
    <w:bookmarkStart w:id="21" w:name="X2b9a384f5da55831be043e3e19b2de51caeba0f"/>
    <w:p>
      <w:pPr>
        <w:pStyle w:val="Heading2"/>
      </w:pPr>
      <w:r>
        <w:t xml:space="preserve">II. Market Context: Education Administrator Focus in Peru Lima</w:t>
      </w:r>
    </w:p>
    <w:p>
      <w:pPr>
        <w:pStyle w:val="FirstParagraph"/>
      </w:pPr>
      <w:r>
        <w:t xml:space="preserve">Lima remains Peru's educational epicenter, housing over 40% of the nation's students (1.5 million+ public school students) and facing acute challenges including infrastructure gaps, teacher shortages, and digital divide issues exacerbated by rapid urbanization. As Education Administrators operating within this complex landscape, CPES aligns our offerings with key Ministry of Education (MINEDU) initiatives like "Escuela Nueva" modernization and the 2023 National Curriculum Reform. Our sales strategy directly addresses Lima's unique needs: 78% of target schools require integrated student information systems (SIS), while 65% seek affordable digital literacy programs for teachers in underserved communities. The Education Administrator role in Lima is thus not merely transactional—it’s a catalyst for sustainable educational improvement.</w:t>
      </w:r>
    </w:p>
    <w:bookmarkEnd w:id="21"/>
    <w:bookmarkStart w:id="24" w:name="iii.-q3-sales-performance-highlights"/>
    <w:p>
      <w:pPr>
        <w:pStyle w:val="Heading2"/>
      </w:pPr>
      <w:r>
        <w:t xml:space="preserve">III. Q3 Sales Performance Highlights</w:t>
      </w:r>
    </w:p>
    <w:bookmarkStart w:id="22" w:name="a.-contract-acquisition-lima-focus"/>
    <w:p>
      <w:pPr>
        <w:pStyle w:val="Heading3"/>
      </w:pPr>
      <w:r>
        <w:t xml:space="preserve">A. Contract Acquisition (Lima Focus)</w:t>
      </w:r>
    </w:p>
    <w:p>
      <w:pPr>
        <w:numPr>
          <w:ilvl w:val="0"/>
          <w:numId w:val="1001"/>
        </w:numPr>
        <w:pStyle w:val="Compact"/>
      </w:pPr>
      <w:r>
        <w:rPr>
          <w:bCs/>
          <w:b/>
        </w:rPr>
        <w:t xml:space="preserve">New Institutional Contracts:</w:t>
      </w:r>
      <w:r>
        <w:t xml:space="preserve"> </w:t>
      </w:r>
      <w:r>
        <w:t xml:space="preserve">38 schools (+15% YoY), including 14 public schools in high-need districts (e.g., Comas, Santa Rosa)</w:t>
      </w:r>
    </w:p>
    <w:p>
      <w:pPr>
        <w:numPr>
          <w:ilvl w:val="0"/>
          <w:numId w:val="1001"/>
        </w:numPr>
        <w:pStyle w:val="Compact"/>
      </w:pPr>
      <w:r>
        <w:rPr>
          <w:bCs/>
          <w:b/>
        </w:rPr>
        <w:t xml:space="preserve">Largest Deal of Quarter:</w:t>
      </w:r>
      <w:r>
        <w:t xml:space="preserve"> </w:t>
      </w:r>
      <w:r>
        <w:t xml:space="preserve">$285,000 contract with the Municipalidad de Lima for district-wide SIS implementation across 27 schools in La Victoria and Villa El Salvador</w:t>
      </w:r>
    </w:p>
    <w:p>
      <w:pPr>
        <w:numPr>
          <w:ilvl w:val="0"/>
          <w:numId w:val="1001"/>
        </w:numPr>
        <w:pStyle w:val="Compact"/>
      </w:pPr>
      <w:r>
        <w:rPr>
          <w:bCs/>
          <w:b/>
        </w:rPr>
        <w:t xml:space="preserve">Client Retention Rate:</w:t>
      </w:r>
      <w:r>
        <w:t xml:space="preserve"> </w:t>
      </w:r>
      <w:r>
        <w:t xml:space="preserve">92% (exceeding target of 85%), driven by proactive Education Administrator support during MINEDU's quarterly compliance audits</w:t>
      </w:r>
    </w:p>
    <w:bookmarkEnd w:id="22"/>
    <w:bookmarkStart w:id="23" w:name="X9bc6b55e3629315cd34b6864822f7b83b877129"/>
    <w:p>
      <w:pPr>
        <w:pStyle w:val="Heading3"/>
      </w:pPr>
      <w:r>
        <w:t xml:space="preserve">B. Product-Specific Sales Breakdown (Peru Lima)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w:t>
            </w:r>
          </w:p>
        </w:tc>
        <w:tc>
          <w:tcPr/>
          <w:p>
            <w:pPr>
              <w:pStyle w:val="Compact"/>
              <w:jc w:val="left"/>
            </w:pPr>
            <w:r>
              <w:t xml:space="preserve">Q3 Licenses Sold</w:t>
            </w:r>
          </w:p>
        </w:tc>
        <w:tc>
          <w:tcPr/>
          <w:p>
            <w:pPr>
              <w:pStyle w:val="Compact"/>
              <w:jc w:val="left"/>
            </w:pPr>
            <w:r>
              <w:t xml:space="preserve">Revenue Contribution</w:t>
            </w:r>
          </w:p>
        </w:tc>
        <w:tc>
          <w:tcPr/>
          <w:p>
            <w:pPr>
              <w:pStyle w:val="Compact"/>
              <w:jc w:val="left"/>
            </w:pPr>
            <w:r>
              <w:t xml:space="preserve">Key Lima District Impact</w:t>
            </w:r>
          </w:p>
        </w:tc>
      </w:tr>
      <w:tr>
        <w:tc>
          <w:tcPr/>
          <w:p>
            <w:pPr>
              <w:pStyle w:val="Compact"/>
              <w:jc w:val="left"/>
            </w:pPr>
            <w:r>
              <w:t xml:space="preserve">Cloud-Based SIS (EduLima)</w:t>
            </w:r>
          </w:p>
        </w:tc>
        <w:tc>
          <w:tcPr/>
          <w:p>
            <w:pPr>
              <w:pStyle w:val="Compact"/>
              <w:jc w:val="left"/>
            </w:pPr>
            <w:r>
              <w:t xml:space="preserve">32</w:t>
            </w:r>
          </w:p>
        </w:tc>
        <w:tc>
          <w:tcPr/>
          <w:p>
            <w:pPr>
              <w:pStyle w:val="Compact"/>
              <w:jc w:val="left"/>
            </w:pPr>
            <w:r>
              <w:t xml:space="preserve">68%</w:t>
            </w:r>
          </w:p>
        </w:tc>
        <w:tc>
          <w:tcPr/>
          <w:p>
            <w:pPr>
              <w:pStyle w:val="Compact"/>
              <w:jc w:val="left"/>
            </w:pPr>
            <w:r>
              <w:t xml:space="preserve">Bilingual schools in Miraflores, public schools in Lurín</w:t>
            </w:r>
          </w:p>
        </w:tc>
      </w:tr>
      <w:tr>
        <w:tc>
          <w:tcPr/>
          <w:p>
            <w:pPr>
              <w:pStyle w:val="Compact"/>
              <w:jc w:val="left"/>
            </w:pPr>
            <w:r>
              <w:t xml:space="preserve">Tutoring Platform (AprendoMás)</w:t>
            </w:r>
          </w:p>
        </w:tc>
        <w:tc>
          <w:tcPr/>
          <w:p>
            <w:pPr>
              <w:pStyle w:val="Compact"/>
              <w:jc w:val="left"/>
            </w:pPr>
            <w:r>
              <w:t xml:space="preserve">18</w:t>
            </w:r>
          </w:p>
        </w:tc>
        <w:tc>
          <w:tcPr/>
          <w:p>
            <w:pPr>
              <w:pStyle w:val="Compact"/>
              <w:jc w:val="left"/>
            </w:pPr>
            <w:r>
              <w:t xml:space="preserve">25%</w:t>
            </w:r>
          </w:p>
        </w:tc>
        <w:tc>
          <w:tcPr/>
          <w:p>
            <w:pPr>
              <w:pStyle w:val="Compact"/>
              <w:jc w:val="left"/>
            </w:pPr>
            <w:r>
              <w:t xml:space="preserve">Vocational centers across Callao &amp; San Juan de Lurigancho</w:t>
            </w:r>
          </w:p>
        </w:tc>
      </w:tr>
      <w:tr>
        <w:tc>
          <w:tcPr/>
          <w:p>
            <w:pPr>
              <w:pStyle w:val="Compact"/>
              <w:jc w:val="left"/>
            </w:pPr>
            <w:r>
              <w:t xml:space="preserve">Teacher Training Modules</w:t>
            </w:r>
          </w:p>
        </w:tc>
        <w:tc>
          <w:tcPr/>
          <w:p>
            <w:pPr>
              <w:pStyle w:val="Compact"/>
              <w:jc w:val="left"/>
            </w:pPr>
            <w:r>
              <w:t xml:space="preserve">41</w:t>
            </w:r>
          </w:p>
        </w:tc>
        <w:tc>
          <w:tcPr/>
          <w:p>
            <w:pPr>
              <w:pStyle w:val="Compact"/>
              <w:jc w:val="left"/>
            </w:pPr>
            <w:r>
              <w:t xml:space="preserve">7%</w:t>
            </w:r>
          </w:p>
        </w:tc>
        <w:tc>
          <w:tcPr/>
          <w:p>
            <w:pPr>
              <w:pStyle w:val="Compact"/>
              <w:jc w:val="left"/>
            </w:pPr>
            <w:r>
              <w:t xml:space="preserve">All 38 schools; focused on rural-urban integration training</w:t>
            </w:r>
          </w:p>
        </w:tc>
      </w:tr>
    </w:tbl>
    <w:bookmarkEnd w:id="23"/>
    <w:bookmarkEnd w:id="24"/>
    <w:bookmarkStart w:id="25" w:name="X110999cfac8e6895a965f3bf736c202ad55949c"/>
    <w:p>
      <w:pPr>
        <w:pStyle w:val="Heading2"/>
      </w:pPr>
      <w:r>
        <w:t xml:space="preserve">IV. Strategic Success Factors: The Education Administrator Edge in Lima</w:t>
      </w:r>
    </w:p>
    <w:p>
      <w:pPr>
        <w:pStyle w:val="FirstParagraph"/>
      </w:pPr>
      <w:r>
        <w:t xml:space="preserve">The exceptional performance in Peru Lima is directly attributable to our Education Administrators' localized expertise. Unlike generic sales teams, our Lima-based administrators:</w:t>
      </w:r>
    </w:p>
    <w:p>
      <w:pPr>
        <w:numPr>
          <w:ilvl w:val="0"/>
          <w:numId w:val="1002"/>
        </w:numPr>
        <w:pStyle w:val="Compact"/>
      </w:pPr>
      <w:r>
        <w:rPr>
          <w:bCs/>
          <w:b/>
        </w:rPr>
        <w:t xml:space="preserve">Master Peruvian Bureaucracy:</w:t>
      </w:r>
      <w:r>
        <w:t xml:space="preserve"> </w:t>
      </w:r>
      <w:r>
        <w:t xml:space="preserve">Navigated MINEDU’s 45-day approval process for public schools with specialized documentation (e.g., "Código de Ética Educativa" compliance), reducing onboarding time by 30%.</w:t>
      </w:r>
    </w:p>
    <w:p>
      <w:pPr>
        <w:numPr>
          <w:ilvl w:val="0"/>
          <w:numId w:val="1002"/>
        </w:numPr>
        <w:pStyle w:val="Compact"/>
      </w:pPr>
      <w:r>
        <w:rPr>
          <w:bCs/>
          <w:b/>
        </w:rPr>
        <w:t xml:space="preserve">Cultural Intelligence:</w:t>
      </w:r>
      <w:r>
        <w:t xml:space="preserve"> </w:t>
      </w:r>
      <w:r>
        <w:t xml:space="preserve">Adapted sales pitches to Lima’s community-driven education ethos—e.g., emphasizing "community parent portals" for schools in Comas, where parental involvement is 89% higher than national average.</w:t>
      </w:r>
    </w:p>
    <w:p>
      <w:pPr>
        <w:numPr>
          <w:ilvl w:val="0"/>
          <w:numId w:val="1002"/>
        </w:numPr>
        <w:pStyle w:val="Compact"/>
      </w:pPr>
      <w:r>
        <w:rPr>
          <w:bCs/>
          <w:b/>
        </w:rPr>
        <w:t xml:space="preserve">Hyper-Local Partnerships:</w:t>
      </w:r>
      <w:r>
        <w:t xml:space="preserve"> </w:t>
      </w:r>
      <w:r>
        <w:t xml:space="preserve">Collaborated with the University of Lima’s Education Department to co-host workshops, generating 22 qualified leads in Q3 alone.</w:t>
      </w:r>
    </w:p>
    <w:bookmarkEnd w:id="25"/>
    <w:bookmarkStart w:id="26" w:name="X2fd82173bf11ebcb58c501ec71391f49c7e4cae"/>
    <w:p>
      <w:pPr>
        <w:pStyle w:val="Heading2"/>
      </w:pPr>
      <w:r>
        <w:t xml:space="preserve">V. Challenges &amp; Mitigation Strategies (Lima-Specific)</w:t>
      </w:r>
    </w:p>
    <w:p>
      <w:pPr>
        <w:pStyle w:val="FirstParagraph"/>
      </w:pPr>
      <w:r>
        <w:t xml:space="preserve">While results are strong, two key challenges emerged requiring Education Administrator intervention:</w:t>
      </w:r>
    </w:p>
    <w:p>
      <w:pPr>
        <w:numPr>
          <w:ilvl w:val="0"/>
          <w:numId w:val="1003"/>
        </w:numPr>
        <w:pStyle w:val="Compact"/>
      </w:pPr>
      <w:r>
        <w:rPr>
          <w:bCs/>
          <w:b/>
        </w:rPr>
        <w:t xml:space="preserve">Financial Constraints in Public Schools:</w:t>
      </w:r>
      <w:r>
        <w:t xml:space="preserve"> </w:t>
      </w:r>
      <w:r>
        <w:t xml:space="preserve">40% of public schools delayed payments due to Ministry budget cycles. *Mitigation:* Implemented flexible payment plans (e.g., 3 installments aligned with MINEDU’s fiscal year), resulting in 100% contract completion for affected accounts.</w:t>
      </w:r>
    </w:p>
    <w:p>
      <w:pPr>
        <w:numPr>
          <w:ilvl w:val="0"/>
          <w:numId w:val="1003"/>
        </w:numPr>
        <w:pStyle w:val="Compact"/>
      </w:pPr>
      <w:r>
        <w:rPr>
          <w:bCs/>
          <w:b/>
        </w:rPr>
        <w:t xml:space="preserve">Digital Literacy Gaps:</w:t>
      </w:r>
      <w:r>
        <w:t xml:space="preserve"> </w:t>
      </w:r>
      <w:r>
        <w:t xml:space="preserve">Initial resistance from teachers at rural-adjacent schools. *Mitigation:* Education Administrators deployed "train-the-trainer" programs, achieving 94% teacher proficiency within 6 weeks (vs. industry avg. of 72%).</w:t>
      </w:r>
    </w:p>
    <w:bookmarkEnd w:id="26"/>
    <w:bookmarkStart w:id="27" w:name="X97dbc981288a789b23a8457c75a7d1bde5ff6f8"/>
    <w:p>
      <w:pPr>
        <w:pStyle w:val="Heading2"/>
      </w:pPr>
      <w:r>
        <w:t xml:space="preserve">VI. Forward-Looking Recommendations for Peru Lima Operations</w:t>
      </w:r>
    </w:p>
    <w:p>
      <w:pPr>
        <w:pStyle w:val="FirstParagraph"/>
      </w:pPr>
      <w:r>
        <w:t xml:space="preserve">Based on Q3 insights, we propose the following actions to leverage our Education Administrator advantage in Lima:</w:t>
      </w:r>
    </w:p>
    <w:p>
      <w:pPr>
        <w:numPr>
          <w:ilvl w:val="0"/>
          <w:numId w:val="1004"/>
        </w:numPr>
        <w:pStyle w:val="Compact"/>
      </w:pPr>
      <w:r>
        <w:rPr>
          <w:bCs/>
          <w:b/>
        </w:rPr>
        <w:t xml:space="preserve">Expand "Escuela Nueva" Integration:</w:t>
      </w:r>
      <w:r>
        <w:t xml:space="preserve"> </w:t>
      </w:r>
      <w:r>
        <w:t xml:space="preserve">Develop a dedicated module for rural-urban school networks—addressing 65% of Lima’s public schools' hybrid learning needs. *Expected Impact:* $1.2M pipeline by Q1 2025.</w:t>
      </w:r>
    </w:p>
    <w:p>
      <w:pPr>
        <w:numPr>
          <w:ilvl w:val="0"/>
          <w:numId w:val="1004"/>
        </w:numPr>
        <w:pStyle w:val="Compact"/>
      </w:pPr>
      <w:r>
        <w:rPr>
          <w:bCs/>
          <w:b/>
        </w:rPr>
        <w:t xml:space="preserve">Launch "Lima Education Summit":</w:t>
      </w:r>
      <w:r>
        <w:t xml:space="preserve"> </w:t>
      </w:r>
      <w:r>
        <w:t xml:space="preserve">Host an annual event in partnership with MINEDU and the Asociación de Colegios Privados de Lima (ACOPEL) to showcase local success stories. *Expected Impact:* 30% increase in qualified leads from established networks.</w:t>
      </w:r>
    </w:p>
    <w:p>
      <w:pPr>
        <w:numPr>
          <w:ilvl w:val="0"/>
          <w:numId w:val="1004"/>
        </w:numPr>
        <w:pStyle w:val="Compact"/>
      </w:pPr>
      <w:r>
        <w:rPr>
          <w:bCs/>
          <w:b/>
        </w:rPr>
        <w:t xml:space="preserve">AI-Powered Resource Allocation Tool:</w:t>
      </w:r>
      <w:r>
        <w:t xml:space="preserve"> </w:t>
      </w:r>
      <w:r>
        <w:t xml:space="preserve">Build a predictive analytics tool for Education Administrators to forecast school needs based on Lima’s district enrollment trends (e.g., rapid growth in Villa María del Triunfo). *Expected Impact:* 20% higher upsell conversion rate.</w:t>
      </w:r>
    </w:p>
    <w:bookmarkEnd w:id="27"/>
    <w:bookmarkStart w:id="28" w:name="vii.-conclusion"/>
    <w:p>
      <w:pPr>
        <w:pStyle w:val="Heading2"/>
      </w:pPr>
      <w:r>
        <w:t xml:space="preserve">VII. Conclusion</w:t>
      </w:r>
    </w:p>
    <w:p>
      <w:pPr>
        <w:pStyle w:val="FirstParagraph"/>
      </w:pPr>
      <w:r>
        <w:t xml:space="preserve">The Q3 results validate our core strategy: deploying Education Administrators deeply embedded in Lima’s education ecosystem drives sustainable growth where generic sales approaches fail. Our focus on Peru Lima’s unique challenges—aligned with national priorities and community needs—has transformed CPES from a vendor into a trusted educational partner. The 15% YoY growth isn’t just a number; it represents 38 schools better equipped to serve over 20,000 students in one of Latin America’s most dynamic education markets. As Education Administrators, we don’t merely close deals—we enable systemic improvement across Peru Lima. We recommend full budget allocation for the "Lima Education Summit" and Escuela Nueva module development to capitalize on this momentum.</w:t>
      </w:r>
    </w:p>
    <w:p>
      <w:pPr>
        <w:pStyle w:val="BodyText"/>
      </w:pPr>
      <w:r>
        <w:rPr>
          <w:bCs/>
          <w:b/>
        </w:rPr>
        <w:t xml:space="preserve">Prepared By:</w:t>
      </w:r>
      <w:r>
        <w:t xml:space="preserve"> </w:t>
      </w:r>
      <w:r>
        <w:t xml:space="preserve">Carlos Mendoza, Senior Education Administrator - CPES Lima Office</w:t>
      </w:r>
      <w:r>
        <w:br/>
      </w:r>
      <w:r>
        <w:rPr>
          <w:bCs/>
          <w:b/>
        </w:rPr>
        <w:t xml:space="preserve">Contact:</w:t>
      </w:r>
      <w:r>
        <w:t xml:space="preserve"> </w:t>
      </w:r>
      <w:r>
        <w:t xml:space="preserve">cmendoza@cpes.pe | +51 987 654 321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Education Administrator Performance in Peru Lima</dc:title>
  <dc:creator/>
  <dc:language>en</dc:language>
  <cp:keywords/>
  <dcterms:created xsi:type="dcterms:W3CDTF">2026-07-20T08:06:22Z</dcterms:created>
  <dcterms:modified xsi:type="dcterms:W3CDTF">2026-07-20T08:06:22Z</dcterms:modified>
</cp:coreProperties>
</file>

<file path=docProps/custom.xml><?xml version="1.0" encoding="utf-8"?>
<Properties xmlns="http://schemas.openxmlformats.org/officeDocument/2006/custom-properties" xmlns:vt="http://schemas.openxmlformats.org/officeDocument/2006/docPropsVTypes"/>
</file>