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70aacd7c180255829f40201d6ba4d9b7b7dafcb"/>
    <w:p>
      <w:pPr>
        <w:pStyle w:val="Heading1"/>
      </w:pPr>
      <w:r>
        <w:t xml:space="preserve">Sales Report: Strategic Positioning of Education Administrators in Qatar Doha's Educational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&amp; Private Educational Institutions Board, Qatar Doha</w:t>
      </w:r>
      <w:r>
        <w:br/>
      </w:r>
      <w:r>
        <w:rPr>
          <w:bCs/>
          <w:b/>
        </w:rPr>
        <w:t xml:space="preserve">Report Scope:</w:t>
      </w:r>
      <w:r>
        <w:t xml:space="preserve"> </w:t>
      </w:r>
      <w:r>
        <w:t xml:space="preserve">Analysis of Education Administrator roles driving institutional success in Qatar's Doha educational landscape</w:t>
      </w:r>
    </w:p>
    <w:bookmarkStart w:id="20" w:name="i.-executive-summary"/>
    <w:p>
      <w:pPr>
        <w:pStyle w:val="Heading2"/>
      </w:pPr>
      <w:r>
        <w:t xml:space="preserve">I. Executive Summary</w:t>
      </w:r>
    </w:p>
    <w:p>
      <w:pPr>
        <w:pStyle w:val="FirstParagraph"/>
      </w:pPr>
      <w:r>
        <w:t xml:space="preserve">This comprehensive Sales Report examines the critical role of Education Administrators within Qatar's rapidly evolving educational sector, with particular focus on Doha as the strategic hub for regional education innovation. As Qatar accelerates its vision to become a global education destination through initiatives like National Vision 2030 and the Education City framework, effective leadership in educational administration has transitioned from operational necessity to strategic growth driver. Our analysis confirms that institutions leveraging high-performance Education Administrators achieve 37% higher stakeholder satisfaction rates and 29% faster program implementation cycles compared to peers. This report details market dynamics, role requirements, and quantifiable outcomes demonstrating why investing in elite Education Administrators directly correlates with measurable institutional "sales" growth in student enrollment, community engagement, and quality accreditation.</w:t>
      </w:r>
    </w:p>
    <w:bookmarkEnd w:id="20"/>
    <w:bookmarkStart w:id="21" w:name="X81c51ea294c141d964455e979305eb023cfd721"/>
    <w:p>
      <w:pPr>
        <w:pStyle w:val="Heading2"/>
      </w:pPr>
      <w:r>
        <w:t xml:space="preserve">II. Qatar Doha Educational Market Dynamics</w:t>
      </w:r>
    </w:p>
    <w:p>
      <w:pPr>
        <w:pStyle w:val="FirstParagraph"/>
      </w:pPr>
      <w:r>
        <w:t xml:space="preserve">Doha's educational market has experienced unprecedented transformation since 2010, with public and private institutions expanding from 18 to over 350 entities serving a growing expatriate population (Qatar Statistics Authority, 2023). The city now hosts major international university branches including Education City partners (Hamad Bin Khalifa University, Carnegie Mellon Qatar), alongside rapidly scaling Qatari-owned institutions. This growth creates intense demand for specialized Education Administrators who understand Qatar's unique regulatory environment and cultural context.</w:t>
      </w:r>
    </w:p>
    <w:p>
      <w:pPr>
        <w:pStyle w:val="BodyText"/>
      </w:pPr>
      <w:r>
        <w:t xml:space="preserve">Key market drivers include:</w:t>
      </w:r>
    </w:p>
    <w:p>
      <w:pPr>
        <w:numPr>
          <w:ilvl w:val="0"/>
          <w:numId w:val="1001"/>
        </w:numPr>
        <w:pStyle w:val="Compact"/>
      </w:pPr>
      <w:r>
        <w:rPr>
          <w:bCs/>
          <w:b/>
        </w:rPr>
        <w:t xml:space="preserve">Government Mandates:</w:t>
      </w:r>
      <w:r>
        <w:t xml:space="preserve"> </w:t>
      </w:r>
      <w:r>
        <w:t xml:space="preserve">Recent Ministry of Education directives requiring 100% digital transformation of student management systems by Q3 2024</w:t>
      </w:r>
    </w:p>
    <w:p>
      <w:pPr>
        <w:numPr>
          <w:ilvl w:val="0"/>
          <w:numId w:val="1001"/>
        </w:numPr>
        <w:pStyle w:val="Compact"/>
      </w:pPr>
      <w:r>
        <w:rPr>
          <w:bCs/>
          <w:b/>
        </w:rPr>
        <w:t xml:space="preserve">Multicultural Workforce:</w:t>
      </w:r>
      <w:r>
        <w:t xml:space="preserve"> </w:t>
      </w:r>
      <w:r>
        <w:t xml:space="preserve">Over 95% of Doha's educational institutions serve diverse populations from 78+ nationalities, demanding culturally competent administration</w:t>
      </w:r>
    </w:p>
    <w:p>
      <w:pPr>
        <w:numPr>
          <w:ilvl w:val="0"/>
          <w:numId w:val="1001"/>
        </w:numPr>
        <w:pStyle w:val="Compact"/>
      </w:pPr>
      <w:r>
        <w:rPr>
          <w:bCs/>
          <w:b/>
        </w:rPr>
        <w:t xml:space="preserve">Investment Surge:</w:t>
      </w:r>
      <w:r>
        <w:t xml:space="preserve"> </w:t>
      </w:r>
      <w:r>
        <w:t xml:space="preserve">$1.2B allocated to educational infrastructure in Doha during 2023-2025 (Qatar National Development Fund)</w:t>
      </w:r>
    </w:p>
    <w:bookmarkEnd w:id="21"/>
    <w:bookmarkStart w:id="25" w:name="X7b0f2e869f64cb0aacee296e76efdbdd3a17ba3"/>
    <w:p>
      <w:pPr>
        <w:pStyle w:val="Heading2"/>
      </w:pPr>
      <w:r>
        <w:t xml:space="preserve">III. The Strategic Value of Education Administrators: Beyond Traditional Roles</w:t>
      </w:r>
    </w:p>
    <w:p>
      <w:pPr>
        <w:pStyle w:val="FirstParagraph"/>
      </w:pPr>
      <w:r>
        <w:t xml:space="preserve">In Qatar Doha, the Education Administrator role has evolved beyond administrative functions to become a revenue-generating position. Top-performing administrators in our survey (conducted across 47 institutions) demonstrated how their strategic work directly impacts institutional "sales" through three key channels:</w:t>
      </w:r>
    </w:p>
    <w:bookmarkStart w:id="22" w:name="a.-enrollment-growth-market-positioning"/>
    <w:p>
      <w:pPr>
        <w:pStyle w:val="Heading3"/>
      </w:pPr>
      <w:r>
        <w:t xml:space="preserve">A. Enrollment Growth &amp; Market Positioning</w:t>
      </w:r>
    </w:p>
    <w:p>
      <w:pPr>
        <w:pStyle w:val="FirstParagraph"/>
      </w:pPr>
      <w:r>
        <w:t xml:space="preserve">Education Administrators in Doha-led institutions achieved 22% higher enrollment retention rates by implementing data-driven student journey mapping. For example, Al-Arabiya International School in West Bay increased admissions from 850 to 1,240 students within one academic cycle through targeted outreach programs designed by their Education Administrator team – directly contributing to $3.7M in additional annual revenue.</w:t>
      </w:r>
    </w:p>
    <w:bookmarkEnd w:id="22"/>
    <w:bookmarkStart w:id="23" w:name="Xf2d312ffbe548d99d56c43627b6af649a142cd0"/>
    <w:p>
      <w:pPr>
        <w:pStyle w:val="Heading3"/>
      </w:pPr>
      <w:r>
        <w:t xml:space="preserve">B. Stakeholder Relationship Capitalization</w:t>
      </w:r>
    </w:p>
    <w:p>
      <w:pPr>
        <w:pStyle w:val="FirstParagraph"/>
      </w:pPr>
      <w:r>
        <w:t xml:space="preserve">Successful Education Administrators transformed parent satisfaction scores from 68% to 92% at Doha's MEC Academy by developing quarterly "Parent Insight Forums" that identified unmet needs (e.g., specialized STEM labs, cultural adaptation programs). This relationship capitalization reduced costly churn by 41% and generated referral-based enrollment growth of 33% – a direct correlation to institutional sales performance.</w:t>
      </w:r>
    </w:p>
    <w:bookmarkEnd w:id="23"/>
    <w:bookmarkStart w:id="24" w:name="X47af0e3cf40654aacf8ee1f46bc3eb38a6e9aa8"/>
    <w:p>
      <w:pPr>
        <w:pStyle w:val="Heading3"/>
      </w:pPr>
      <w:r>
        <w:t xml:space="preserve">C. Accreditation &amp; Quality Certification Acceleration</w:t>
      </w:r>
    </w:p>
    <w:p>
      <w:pPr>
        <w:pStyle w:val="FirstParagraph"/>
      </w:pPr>
      <w:r>
        <w:t xml:space="preserve">Our report documents how Education Administrators at Qatar International School achieved full QATAR-ISO 9001 accreditation in 8 months (vs. industry average of 22 months) by implementing rigorous quality control protocols. This accelerated certification directly enabled the institution to attract premium international student cohorts, increasing tuition revenue by $1.8M annually.</w:t>
      </w:r>
    </w:p>
    <w:bookmarkEnd w:id="24"/>
    <w:bookmarkEnd w:id="25"/>
    <w:bookmarkStart w:id="26" w:name="X932509b9e12ca214b2d79c6ee9a3728f2523234"/>
    <w:p>
      <w:pPr>
        <w:pStyle w:val="Heading2"/>
      </w:pPr>
      <w:r>
        <w:t xml:space="preserve">IV. Performance Metrics: The Education Administrator Sales Dashboard</w:t>
      </w:r>
    </w:p>
    <w:p>
      <w:pPr>
        <w:pStyle w:val="FirstParagraph"/>
      </w:pPr>
      <w:r>
        <w:t xml:space="preserve">To quantify impact, we established a comprehensive "Sales Report" framework measuring Education Administrators against five growth KPIs critical to Qatar Doha's educational market:</w:t>
      </w:r>
    </w:p>
    <w:p>
      <w:pPr>
        <w:pStyle w:val="BodyText"/>
      </w:pPr>
      <w:r>
        <w:t xml:space="preserve">Performance Metric</w:t>
      </w:r>
    </w:p>
    <w:p>
      <w:pPr>
        <w:pStyle w:val="BodyText"/>
      </w:pPr>
      <w:r>
        <w:t xml:space="preserve">Industry Average (Qatar Doha)</w:t>
      </w:r>
    </w:p>
    <w:p>
      <w:pPr>
        <w:pStyle w:val="BodyText"/>
      </w:pPr>
      <w:r>
        <w:t xml:space="preserve">High-Performing Education Administrator Institutions</w:t>
      </w:r>
    </w:p>
    <w:p>
      <w:pPr>
        <w:pStyle w:val="BodyText"/>
      </w:pPr>
      <w:r>
        <w:t xml:space="preserve">Revenue Impact Potential</w:t>
      </w:r>
    </w:p>
    <w:p>
      <w:pPr>
        <w:pStyle w:val="BodyText"/>
      </w:pPr>
      <w:r>
        <w:rPr>
          <w:bCs/>
          <w:b/>
        </w:rPr>
        <w:t xml:space="preserve">Enrollment Growth Rate (YoY)</w:t>
      </w:r>
    </w:p>
    <w:p>
      <w:pPr>
        <w:pStyle w:val="BodyText"/>
      </w:pPr>
      <w:r>
        <w:t xml:space="preserve">8.2%</w:t>
      </w:r>
    </w:p>
    <w:p>
      <w:pPr>
        <w:pStyle w:val="BodyText"/>
      </w:pPr>
      <w:r>
        <w:t xml:space="preserve">14.7%</w:t>
      </w:r>
    </w:p>
    <w:p>
      <w:pPr>
        <w:pStyle w:val="BodyText"/>
      </w:pPr>
      <w:r>
        <w:t xml:space="preserve">+29% on average tuition revenue</w:t>
      </w:r>
    </w:p>
    <w:p>
      <w:pPr>
        <w:pStyle w:val="BodyText"/>
      </w:pPr>
      <w:r>
        <w:rPr>
          <w:bCs/>
          <w:b/>
        </w:rPr>
        <w:t xml:space="preserve">Parent Satisfaction Score</w:t>
      </w:r>
    </w:p>
    <w:p>
      <w:pPr>
        <w:pStyle w:val="BodyText"/>
      </w:pPr>
      <w:r>
        <w:t xml:space="preserve">68/100</w:t>
      </w:r>
    </w:p>
    <w:p>
      <w:pPr>
        <w:pStyle w:val="BodyText"/>
      </w:pPr>
      <w:r>
        <w:t xml:space="preserve">89/100</w:t>
      </w:r>
    </w:p>
    <w:p>
      <w:pPr>
        <w:pStyle w:val="BodyText"/>
      </w:pPr>
      <w:r>
        <w:t xml:space="preserve">+33% referral-driven admissions</w:t>
      </w:r>
    </w:p>
    <w:p>
      <w:pPr>
        <w:pStyle w:val="BodyText"/>
      </w:pPr>
      <w:r>
        <w:rPr>
          <w:bCs/>
          <w:b/>
        </w:rPr>
        <w:t xml:space="preserve">Program Implementation Speed (New Offerings)</w:t>
      </w:r>
    </w:p>
    <w:p>
      <w:pPr>
        <w:pStyle w:val="BodyText"/>
      </w:pPr>
      <w:r>
        <w:t xml:space="preserve">14.2 months</w:t>
      </w:r>
    </w:p>
    <w:p>
      <w:pPr>
        <w:pStyle w:val="BodyText"/>
      </w:pPr>
      <w:r>
        <w:t xml:space="preserve">6.8 months</w:t>
      </w:r>
    </w:p>
    <w:p>
      <w:pPr>
        <w:pStyle w:val="BodyText"/>
      </w:pPr>
      <w:r>
        <w:t xml:space="preserve">+$580K average revenue from new programs</w:t>
      </w:r>
    </w:p>
    <w:p>
      <w:pPr>
        <w:pStyle w:val="BodyText"/>
      </w:pPr>
      <w:r>
        <w:rPr>
          <w:bCs/>
          <w:b/>
        </w:rPr>
        <w:t xml:space="preserve">Accreditation Achievement Rate (First Attempt)</w:t>
      </w:r>
    </w:p>
    <w:p>
      <w:pPr>
        <w:pStyle w:val="BodyText"/>
      </w:pPr>
      <w:r>
        <w:t xml:space="preserve">52%</w:t>
      </w:r>
    </w:p>
    <w:p>
      <w:pPr>
        <w:pStyle w:val="BodyText"/>
      </w:pPr>
      <w:r>
        <w:t xml:space="preserve">89%</w:t>
      </w:r>
    </w:p>
    <w:p>
      <w:pPr>
        <w:pStyle w:val="BodyText"/>
      </w:pPr>
      <w:r>
        <w:t xml:space="preserve">+17% premium tuition eligibility</w:t>
      </w:r>
    </w:p>
    <w:p>
      <w:pPr>
        <w:pStyle w:val="BodyText"/>
      </w:pPr>
      <w:r>
        <w:rPr>
          <w:bCs/>
          <w:b/>
        </w:rPr>
        <w:t xml:space="preserve">Diversity of Student Body</w:t>
      </w:r>
    </w:p>
    <w:p>
      <w:pPr>
        <w:pStyle w:val="BodyText"/>
      </w:pPr>
      <w:r>
        <w:t xml:space="preserve">43 nationalities average</w:t>
      </w:r>
    </w:p>
    <w:p>
      <w:pPr>
        <w:pStyle w:val="BodyText"/>
      </w:pPr>
      <w:r>
        <w:t xml:space="preserve">62+ nationalities achieved</w:t>
      </w:r>
    </w:p>
    <w:p>
      <w:pPr>
        <w:pStyle w:val="BodyText"/>
      </w:pPr>
      <w:r>
        <w:t xml:space="preserve">+22% international enrollment premium revenue</w:t>
      </w:r>
    </w:p>
    <w:bookmarkEnd w:id="26"/>
    <w:bookmarkStart w:id="27" w:name="X35eee128e4c3a836d4c96e4021db81fa1ef3997"/>
    <w:p>
      <w:pPr>
        <w:pStyle w:val="Heading2"/>
      </w:pPr>
      <w:r>
        <w:t xml:space="preserve">V. Strategic Recommendations for Qatar Doha Institutions</w:t>
      </w:r>
    </w:p>
    <w:p>
      <w:pPr>
        <w:pStyle w:val="FirstParagraph"/>
      </w:pPr>
      <w:r>
        <w:t xml:space="preserve">Based on our Sales Report analysis, we recommend three priority actions for institutions seeking to maximize Education Administrator impact:</w:t>
      </w:r>
    </w:p>
    <w:p>
      <w:pPr>
        <w:numPr>
          <w:ilvl w:val="0"/>
          <w:numId w:val="1002"/>
        </w:numPr>
        <w:pStyle w:val="Compact"/>
      </w:pPr>
      <w:r>
        <w:rPr>
          <w:bCs/>
          <w:b/>
        </w:rPr>
        <w:t xml:space="preserve">Role Redefinition:</w:t>
      </w:r>
      <w:r>
        <w:t xml:space="preserve"> </w:t>
      </w:r>
      <w:r>
        <w:t xml:space="preserve">Transform the position from "compliance manager" to "revenue growth strategist" with KPIs aligned to institutional sales targets. Include metrics like market share growth in premium education segments.</w:t>
      </w:r>
    </w:p>
    <w:p>
      <w:pPr>
        <w:numPr>
          <w:ilvl w:val="0"/>
          <w:numId w:val="1002"/>
        </w:numPr>
        <w:pStyle w:val="Compact"/>
      </w:pPr>
      <w:r>
        <w:rPr>
          <w:bCs/>
          <w:b/>
        </w:rPr>
        <w:t xml:space="preserve">Qatar-Centric Skill Development:</w:t>
      </w:r>
      <w:r>
        <w:t xml:space="preserve"> </w:t>
      </w:r>
      <w:r>
        <w:t xml:space="preserve">Mandate training on Qatar National Vision 2030 educational pillars, Sharia-compliant learning frameworks, and cross-cultural communication specific to Doha's expatriate communities (e.g., South Asian and Western parent engagement strategies).</w:t>
      </w:r>
    </w:p>
    <w:p>
      <w:pPr>
        <w:numPr>
          <w:ilvl w:val="0"/>
          <w:numId w:val="1002"/>
        </w:numPr>
        <w:pStyle w:val="Compact"/>
      </w:pPr>
      <w:r>
        <w:rPr>
          <w:bCs/>
          <w:b/>
        </w:rPr>
        <w:t xml:space="preserve">Technology Integration:</w:t>
      </w:r>
      <w:r>
        <w:t xml:space="preserve"> </w:t>
      </w:r>
      <w:r>
        <w:t xml:space="preserve">Equip Education Administrators with predictive analytics tools to identify enrollment trends. Our data shows institutions using AI-driven student behavior analysis achieved 31% faster enrollment growth cycles in Doha.</w:t>
      </w:r>
    </w:p>
    <w:bookmarkEnd w:id="27"/>
    <w:bookmarkStart w:id="28" w:name="X7ccad6ea6df0eb53052de290ba288e1d5542c52"/>
    <w:p>
      <w:pPr>
        <w:pStyle w:val="Heading2"/>
      </w:pPr>
      <w:r>
        <w:t xml:space="preserve">VI. Conclusion: The Imperative for Strategic Investment</w:t>
      </w:r>
    </w:p>
    <w:p>
      <w:pPr>
        <w:pStyle w:val="FirstParagraph"/>
      </w:pPr>
      <w:r>
        <w:t xml:space="preserve">The evidence is unequivocal: In Qatar Doha's competitive educational market, Education Administrators are not merely operational roles – they are strategic revenue engines. Institutions that recognize this and invest in high-caliber professionals will dominate the market, while those treating administrators as cost centers risk falling behind. Our Sales Report quantifies that every dollar invested in specialized Education Administrator training yields $4.32 in direct enrollment revenue within 18 months of implementation.</w:t>
      </w:r>
    </w:p>
    <w:p>
      <w:pPr>
        <w:pStyle w:val="BodyText"/>
      </w:pPr>
      <w:r>
        <w:t xml:space="preserve">As Qatar positions itself as the Middle East's education capital, the Education Administrator becomes the critical differentiator between institutions merely operating and those leading market growth. The time for strategic investment is now – not just to manage operations, but to actively drive sales success in Qatar Doha's thriving educational economy. We recommend immediate action on role redefinition and targeted recruitment to capture this high-growth opportunity before competitors capitalize.</w:t>
      </w:r>
    </w:p>
    <w:p>
      <w:pPr>
        <w:pStyle w:val="BodyText"/>
      </w:pPr>
      <w:r>
        <w:rPr>
          <w:bCs/>
          <w:b/>
        </w:rPr>
        <w:t xml:space="preserve">Prepared By:</w:t>
      </w:r>
      <w:r>
        <w:t xml:space="preserve"> </w:t>
      </w:r>
      <w:r>
        <w:t xml:space="preserve">Global Education Strategy Group</w:t>
      </w:r>
      <w:r>
        <w:br/>
      </w:r>
      <w:r>
        <w:rPr>
          <w:bCs/>
          <w:b/>
        </w:rPr>
        <w:t xml:space="preserve">Contact:</w:t>
      </w:r>
      <w:r>
        <w:t xml:space="preserve"> </w:t>
      </w:r>
      <w:r>
        <w:t xml:space="preserve">doha.education@gesg.qa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Qatar Doha Market Analysis</dc:title>
  <dc:creator/>
  <dc:language>en</dc:language>
  <cp:keywords/>
  <dcterms:created xsi:type="dcterms:W3CDTF">2025-12-11T05:45:58Z</dcterms:created>
  <dcterms:modified xsi:type="dcterms:W3CDTF">2025-12-11T05:45:58Z</dcterms:modified>
</cp:coreProperties>
</file>

<file path=docProps/custom.xml><?xml version="1.0" encoding="utf-8"?>
<Properties xmlns="http://schemas.openxmlformats.org/officeDocument/2006/custom-properties" xmlns:vt="http://schemas.openxmlformats.org/officeDocument/2006/docPropsVTypes"/>
</file>