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Education</w:t>
      </w:r>
      <w:r>
        <w:t xml:space="preserve"> </w:t>
      </w:r>
      <w:r>
        <w:t xml:space="preserve">Administrator</w:t>
      </w:r>
      <w:r>
        <w:t xml:space="preserve"> </w:t>
      </w:r>
      <w:r>
        <w:t xml:space="preserve">Solutions</w:t>
      </w:r>
      <w:r>
        <w:t xml:space="preserve"> </w:t>
      </w:r>
      <w:r>
        <w:t xml:space="preserve">in</w:t>
      </w:r>
      <w:r>
        <w:t xml:space="preserve"> </w:t>
      </w:r>
      <w:r>
        <w:t xml:space="preserve">Russia</w:t>
      </w:r>
      <w:r>
        <w:t xml:space="preserve"> </w:t>
      </w:r>
      <w:r>
        <w:t xml:space="preserve">Moscow</w:t>
      </w:r>
      <w:r>
        <w:t xml:space="preserve"> </w:t>
      </w:r>
      <w:r>
        <w:t xml:space="preserve">Market</w:t>
      </w:r>
    </w:p>
    <w:bookmarkStart w:id="26" w:name="Xe922d5fa582f7aa00548e84a59579962aea7cd5"/>
    <w:p>
      <w:pPr>
        <w:pStyle w:val="Heading1"/>
      </w:pPr>
      <w:r>
        <w:t xml:space="preserve">Comprehensive Sales Report: Advanced Education Administrator Solutions for the Russia Moscow Market</w:t>
      </w:r>
    </w:p>
    <w:p>
      <w:pPr>
        <w:pStyle w:val="FirstParagraph"/>
      </w:pPr>
      <w:r>
        <w:rPr>
          <w:bCs/>
          <w:b/>
        </w:rPr>
        <w:t xml:space="preserve">Executive Summary:</w:t>
      </w:r>
      <w:r>
        <w:t xml:space="preserve"> </w:t>
      </w:r>
      <w:r>
        <w:t xml:space="preserve">This Sales Report details the strategic performance of our education management software suite targeting</w:t>
      </w:r>
      <w:r>
        <w:t xml:space="preserve"> </w:t>
      </w:r>
      <w:r>
        <w:rPr>
          <w:iCs/>
          <w:i/>
        </w:rPr>
        <w:t xml:space="preserve">Education Administrator</w:t>
      </w:r>
      <w:r>
        <w:t xml:space="preserve">s across schools, universities, and regional education departments in</w:t>
      </w:r>
      <w:r>
        <w:t xml:space="preserve"> </w:t>
      </w:r>
      <w:r>
        <w:rPr>
          <w:bCs/>
          <w:b/>
        </w:rPr>
        <w:t xml:space="preserve">Russia Moscow</w:t>
      </w:r>
      <w:r>
        <w:t xml:space="preserve">. In Q3 2024, we achieved a 37% year-over-year growth in sales within the Moscow metropolitan area, capturing 18% market share among enterprise-level education management platforms. The success is directly attributed to our localized solution addressing the unique operational and regulatory demands faced by</w:t>
      </w:r>
      <w:r>
        <w:t xml:space="preserve"> </w:t>
      </w:r>
      <w:r>
        <w:rPr>
          <w:iCs/>
          <w:i/>
        </w:rPr>
        <w:t xml:space="preserve">Education Administrator</w:t>
      </w:r>
      <w:r>
        <w:t xml:space="preserve">s in</w:t>
      </w:r>
      <w:r>
        <w:t xml:space="preserve"> </w:t>
      </w:r>
      <w:r>
        <w:rPr>
          <w:bCs/>
          <w:b/>
        </w:rPr>
        <w:t xml:space="preserve">Russia Moscow</w:t>
      </w:r>
      <w:r>
        <w:t xml:space="preserve">.</w:t>
      </w:r>
    </w:p>
    <w:bookmarkStart w:id="20" w:name="Xad17eb29006a1b1c16e0aa1b4bcdbe2bee9dd9e"/>
    <w:p>
      <w:pPr>
        <w:pStyle w:val="Heading2"/>
      </w:pPr>
      <w:r>
        <w:t xml:space="preserve">Market Analysis: The Critical Need in Russia Moscow</w:t>
      </w:r>
    </w:p>
    <w:p>
      <w:pPr>
        <w:pStyle w:val="FirstParagraph"/>
      </w:pPr>
      <w:r>
        <w:t xml:space="preserve">The educational landscape within</w:t>
      </w:r>
      <w:r>
        <w:t xml:space="preserve"> </w:t>
      </w:r>
      <w:r>
        <w:rPr>
          <w:bCs/>
          <w:b/>
        </w:rPr>
        <w:t xml:space="preserve">Russia Moscow</w:t>
      </w:r>
      <w:r>
        <w:t xml:space="preserve"> </w:t>
      </w:r>
      <w:r>
        <w:t xml:space="preserve">presents distinct challenges for the modern</w:t>
      </w:r>
      <w:r>
        <w:t xml:space="preserve"> </w:t>
      </w:r>
      <w:r>
        <w:rPr>
          <w:iCs/>
          <w:i/>
        </w:rPr>
        <w:t xml:space="preserve">Education Administrator</w:t>
      </w:r>
      <w:r>
        <w:t xml:space="preserve">. With over 1,500 schools and 45 higher education institutions operating under stringent Federal State Educational Standards (FSES) and regional directives from the Moscow Department of Education, administrative efficiency is paramount. A recent survey by the Moscow Institute of Education (MIE) revealed that 78% of</w:t>
      </w:r>
      <w:r>
        <w:t xml:space="preserve"> </w:t>
      </w:r>
      <w:r>
        <w:rPr>
          <w:iCs/>
          <w:i/>
        </w:rPr>
        <w:t xml:space="preserve">Education Administrator</w:t>
      </w:r>
      <w:r>
        <w:t xml:space="preserve">s cite manual reporting processes as their top operational bottleneck, directly impacting compliance with Ministry of Education requirements. Furthermore, the shift towards digital transformation mandated by national initiatives like "Digital Education" requires solutions fully compliant with Russian data localization laws (Federal Law No. 242-FZ), a critical factor often overlooked by international vendors.</w:t>
      </w:r>
    </w:p>
    <w:p>
      <w:pPr>
        <w:pStyle w:val="BodyText"/>
      </w:pPr>
      <w:r>
        <w:t xml:space="preserve">Our competitive analysis confirms Moscow's market is underserved for truly localized platforms. While global SaaS providers offer generic tools, they fail to integrate with the Moscow-specific e-portal systems (like "Mosoblshkola") or support Russian-language administrative workflows. This creates a significant gap we have strategically filled.</w:t>
      </w:r>
    </w:p>
    <w:bookmarkEnd w:id="20"/>
    <w:bookmarkStart w:id="21" w:name="X004500abcfb98496d45cf7b853f627679a15c9d"/>
    <w:p>
      <w:pPr>
        <w:pStyle w:val="Heading2"/>
      </w:pPr>
      <w:r>
        <w:t xml:space="preserve">Sales Performance: Targeting Education Administrator Pain Points</w:t>
      </w:r>
    </w:p>
    <w:p>
      <w:pPr>
        <w:pStyle w:val="FirstParagraph"/>
      </w:pPr>
      <w:r>
        <w:t xml:space="preserve">In Q3 2024, our focused sales strategy centered on solving three critical pain points for the Moscow-based</w:t>
      </w:r>
      <w:r>
        <w:t xml:space="preserve"> </w:t>
      </w:r>
      <w:r>
        <w:rPr>
          <w:iCs/>
          <w:i/>
        </w:rPr>
        <w:t xml:space="preserve">Education Administrator</w:t>
      </w:r>
      <w:r>
        <w:t xml:space="preserve">:</w:t>
      </w:r>
    </w:p>
    <w:p>
      <w:pPr>
        <w:numPr>
          <w:ilvl w:val="0"/>
          <w:numId w:val="1001"/>
        </w:numPr>
        <w:pStyle w:val="Compact"/>
      </w:pPr>
      <w:r>
        <w:rPr>
          <w:bCs/>
          <w:b/>
        </w:rPr>
        <w:t xml:space="preserve">Regulatory Compliance Automation:</w:t>
      </w:r>
      <w:r>
        <w:t xml:space="preserve"> </w:t>
      </w:r>
      <w:r>
        <w:t xml:space="preserve">Our platform integrates directly with the Federal Register of Educational Programs and generates pre-formatted reports required by the Moscow Education Department. This reduced compliance reporting time by 65% for clients like School #475 in Krylatskoye, a district serving over 1,200 students.</w:t>
      </w:r>
    </w:p>
    <w:p>
      <w:pPr>
        <w:numPr>
          <w:ilvl w:val="0"/>
          <w:numId w:val="1001"/>
        </w:numPr>
        <w:pStyle w:val="Compact"/>
      </w:pPr>
      <w:r>
        <w:rPr>
          <w:bCs/>
          <w:b/>
        </w:rPr>
        <w:t xml:space="preserve">Unified Russian-Language Workflow:</w:t>
      </w:r>
      <w:r>
        <w:t xml:space="preserve"> </w:t>
      </w:r>
      <w:r>
        <w:t xml:space="preserve">Unlike English-centric platforms, our interface and all documentation are fully native-Russian. This eliminated the need for staff translation and training costs – a key factor in securing contracts with Moscow Municipal Schools where budget constraints are tight.</w:t>
      </w:r>
    </w:p>
    <w:p>
      <w:pPr>
        <w:numPr>
          <w:ilvl w:val="0"/>
          <w:numId w:val="1001"/>
        </w:numPr>
        <w:pStyle w:val="Compact"/>
      </w:pPr>
      <w:r>
        <w:rPr>
          <w:bCs/>
          <w:b/>
        </w:rPr>
        <w:t xml:space="preserve">Data Sovereignty &amp; Security:</w:t>
      </w:r>
      <w:r>
        <w:t xml:space="preserve"> </w:t>
      </w:r>
      <w:r>
        <w:t xml:space="preserve">We host all data exclusively within Russian data centers (Moscow-based infrastructure), meeting strict requirements under Federal Law 242-FZ. This was the decisive factor in winning the contract with the Moscow City Education Management Agency, overseeing 178 schools.</w:t>
      </w:r>
    </w:p>
    <w:p>
      <w:pPr>
        <w:pStyle w:val="FirstParagraph"/>
      </w:pPr>
      <w:r>
        <w:t xml:space="preserve">Key sales metrics for</w:t>
      </w:r>
      <w:r>
        <w:t xml:space="preserve"> </w:t>
      </w:r>
      <w:r>
        <w:rPr>
          <w:bCs/>
          <w:b/>
        </w:rPr>
        <w:t xml:space="preserve">Russia Moscow</w:t>
      </w:r>
      <w:r>
        <w:t xml:space="preserve"> </w:t>
      </w:r>
      <w:r>
        <w:t xml:space="preserve">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Q3 2024 (YoY Change)</w:t>
            </w:r>
          </w:p>
        </w:tc>
      </w:tr>
      <w:tr>
        <w:tc>
          <w:tcPr/>
          <w:p>
            <w:pPr>
              <w:pStyle w:val="Compact"/>
              <w:jc w:val="left"/>
            </w:pPr>
            <w:r>
              <w:t xml:space="preserve">New Contracts Signed (Moscow)</w:t>
            </w:r>
          </w:p>
        </w:tc>
        <w:tc>
          <w:tcPr/>
          <w:p>
            <w:pPr>
              <w:pStyle w:val="Compact"/>
              <w:jc w:val="left"/>
            </w:pPr>
            <w:r>
              <w:t xml:space="preserve">14</w:t>
            </w:r>
          </w:p>
        </w:tc>
        <w:tc>
          <w:tcPr/>
          <w:p>
            <w:pPr>
              <w:pStyle w:val="Compact"/>
              <w:jc w:val="left"/>
            </w:pPr>
            <w:r>
              <w:t xml:space="preserve">26 (+85.7%)</w:t>
            </w:r>
          </w:p>
        </w:tc>
      </w:tr>
      <w:tr>
        <w:tc>
          <w:tcPr/>
          <w:p>
            <w:pPr>
              <w:pStyle w:val="Compact"/>
              <w:jc w:val="left"/>
            </w:pPr>
            <w:r>
              <w:t xml:space="preserve">Average Deal Size (Moscow)</w:t>
            </w:r>
          </w:p>
        </w:tc>
        <w:tc>
          <w:tcPr/>
          <w:p>
            <w:pPr>
              <w:pStyle w:val="Compact"/>
              <w:jc w:val="left"/>
            </w:pPr>
            <w:r>
              <w:t xml:space="preserve">€18,500</w:t>
            </w:r>
          </w:p>
        </w:tc>
        <w:tc>
          <w:tcPr/>
          <w:p>
            <w:pPr>
              <w:pStyle w:val="Compact"/>
              <w:jc w:val="left"/>
            </w:pPr>
            <w:r>
              <w:t xml:space="preserve">€24,300 (+31.4%)</w:t>
            </w:r>
          </w:p>
        </w:tc>
      </w:tr>
      <w:tr>
        <w:tc>
          <w:tcPr/>
          <w:p>
            <w:pPr>
              <w:pStyle w:val="Compact"/>
              <w:jc w:val="left"/>
            </w:pPr>
            <w:r>
              <w:t xml:space="preserve">Client Retention Rate (Moscow)</w:t>
            </w:r>
          </w:p>
        </w:tc>
        <w:tc>
          <w:tcPr/>
          <w:p>
            <w:pPr>
              <w:pStyle w:val="Compact"/>
              <w:jc w:val="left"/>
            </w:pPr>
            <w:r>
              <w:t xml:space="preserve">79%</w:t>
            </w:r>
          </w:p>
        </w:tc>
        <w:tc>
          <w:tcPr/>
          <w:p>
            <w:pPr>
              <w:pStyle w:val="Compact"/>
              <w:jc w:val="left"/>
            </w:pPr>
            <w:r>
              <w:t xml:space="preserve">92% (+13 pts)</w:t>
            </w:r>
          </w:p>
        </w:tc>
      </w:tr>
    </w:tbl>
    <w:bookmarkEnd w:id="21"/>
    <w:bookmarkStart w:id="22" w:name="demonstrated-value-the-moscow-case-study"/>
    <w:p>
      <w:pPr>
        <w:pStyle w:val="Heading2"/>
      </w:pPr>
      <w:r>
        <w:t xml:space="preserve">Demonstrated Value: The Moscow Case Study</w:t>
      </w:r>
    </w:p>
    <w:p>
      <w:pPr>
        <w:pStyle w:val="FirstParagraph"/>
      </w:pPr>
      <w:r>
        <w:t xml:space="preserve">The contract with the "Lomonosov City High School" (Moscow District of Yuzhnaya Basmannaya) exemplifies our value proposition for the</w:t>
      </w:r>
      <w:r>
        <w:t xml:space="preserve"> </w:t>
      </w:r>
      <w:r>
        <w:rPr>
          <w:iCs/>
          <w:i/>
        </w:rPr>
        <w:t xml:space="preserve">Education Administrator</w:t>
      </w:r>
      <w:r>
        <w:t xml:space="preserve"> </w:t>
      </w:r>
      <w:r>
        <w:t xml:space="preserve">in</w:t>
      </w:r>
      <w:r>
        <w:t xml:space="preserve"> </w:t>
      </w:r>
      <w:r>
        <w:rPr>
          <w:bCs/>
          <w:b/>
        </w:rPr>
        <w:t xml:space="preserve">Russia Moscow</w:t>
      </w:r>
      <w:r>
        <w:t xml:space="preserve">. Before implementation, their administrators spent 28 hours weekly on manual grade processing and compliance forms. Our solution automated 95% of these tasks, freeing up 1,200+ annual hours. Crucially, the platform integrated seamlessly with the Moscow Unified Educational Portal (Единая образовательная платформа г. Москвы), a requirement for all municipal schools.</w:t>
      </w:r>
    </w:p>
    <w:p>
      <w:pPr>
        <w:pStyle w:val="BodyText"/>
      </w:pPr>
      <w:r>
        <w:t xml:space="preserve">The school’s Director and Chief Administrator reported: "The platform isn't just software; it's our compliance partner for Moscow's specific educational regulations. The ability to generate reports in the exact format demanded by the Department, without error, has transformed our administrative efficiency. This is why we chose this solution over two international vendors." This testimonial directly addresses a core need of every</w:t>
      </w:r>
      <w:r>
        <w:t xml:space="preserve"> </w:t>
      </w:r>
      <w:r>
        <w:rPr>
          <w:iCs/>
          <w:i/>
        </w:rPr>
        <w:t xml:space="preserve">Education Administrator</w:t>
      </w:r>
      <w:r>
        <w:t xml:space="preserve"> </w:t>
      </w:r>
      <w:r>
        <w:t xml:space="preserve">operating within</w:t>
      </w:r>
      <w:r>
        <w:t xml:space="preserve"> </w:t>
      </w:r>
      <w:r>
        <w:rPr>
          <w:bCs/>
          <w:b/>
        </w:rPr>
        <w:t xml:space="preserve">Russia Moscow</w:t>
      </w:r>
      <w:r>
        <w:t xml:space="preserve">.</w:t>
      </w:r>
    </w:p>
    <w:bookmarkEnd w:id="22"/>
    <w:bookmarkStart w:id="23" w:name="Xb9bdd3368385075dd701f80771d21c8d9017350"/>
    <w:p>
      <w:pPr>
        <w:pStyle w:val="Heading2"/>
      </w:pPr>
      <w:r>
        <w:t xml:space="preserve">Competitive Differentiation: Why Moscow Chose Us</w:t>
      </w:r>
    </w:p>
    <w:p>
      <w:pPr>
        <w:pStyle w:val="FirstParagraph"/>
      </w:pPr>
      <w:r>
        <w:t xml:space="preserve">In the fiercely competitive landscape for education technology in</w:t>
      </w:r>
      <w:r>
        <w:t xml:space="preserve"> </w:t>
      </w:r>
      <w:r>
        <w:rPr>
          <w:bCs/>
          <w:b/>
        </w:rPr>
        <w:t xml:space="preserve">Russia Moscow</w:t>
      </w:r>
      <w:r>
        <w:t xml:space="preserve">, our success stems from two irreplaceable advantages:</w:t>
      </w:r>
    </w:p>
    <w:p>
      <w:pPr>
        <w:numPr>
          <w:ilvl w:val="0"/>
          <w:numId w:val="1002"/>
        </w:numPr>
        <w:pStyle w:val="Compact"/>
      </w:pPr>
      <w:r>
        <w:rPr>
          <w:bCs/>
          <w:b/>
        </w:rPr>
        <w:t xml:space="preserve">Deep Local Integration:</w:t>
      </w:r>
      <w:r>
        <w:t xml:space="preserve"> </w:t>
      </w:r>
      <w:r>
        <w:t xml:space="preserve">Our API architecture is pre-certified for all key Moscow educational systems (Mosoblshkola, EDS, regional ERP modules), a process that takes competitors 6-12 months to complete. This provides immediate value upon deployment.</w:t>
      </w:r>
    </w:p>
    <w:p>
      <w:pPr>
        <w:numPr>
          <w:ilvl w:val="0"/>
          <w:numId w:val="1002"/>
        </w:numPr>
        <w:pStyle w:val="Compact"/>
      </w:pPr>
      <w:r>
        <w:rPr>
          <w:bCs/>
          <w:b/>
        </w:rPr>
        <w:t xml:space="preserve">Trusted Partnership Model:</w:t>
      </w:r>
      <w:r>
        <w:t xml:space="preserve"> </w:t>
      </w:r>
      <w:r>
        <w:t xml:space="preserve">We maintain dedicated Russian-speaking support teams based in Moscow with expertise in FSES and Ministry of Education procedures – not outsourced call centers. The Education Administrator doesn't just buy software; they gain an operational partner within the</w:t>
      </w:r>
      <w:r>
        <w:t xml:space="preserve"> </w:t>
      </w:r>
      <w:r>
        <w:rPr>
          <w:bCs/>
          <w:b/>
        </w:rPr>
        <w:t xml:space="preserve">Russia Moscow</w:t>
      </w:r>
      <w:r>
        <w:t xml:space="preserve"> </w:t>
      </w:r>
      <w:r>
        <w:t xml:space="preserve">ecosystem.</w:t>
      </w:r>
    </w:p>
    <w:bookmarkEnd w:id="23"/>
    <w:bookmarkStart w:id="24" w:name="X6760f15f172c6ea8a17fb651f0bb2da6e06a42a"/>
    <w:p>
      <w:pPr>
        <w:pStyle w:val="Heading2"/>
      </w:pPr>
      <w:r>
        <w:t xml:space="preserve">Forward Strategy: Scaling for Russia Moscow's Future</w:t>
      </w:r>
    </w:p>
    <w:p>
      <w:pPr>
        <w:pStyle w:val="FirstParagraph"/>
      </w:pPr>
      <w:r>
        <w:t xml:space="preserve">Building on our Q3 success, our 2025 strategy for the</w:t>
      </w:r>
      <w:r>
        <w:t xml:space="preserve"> </w:t>
      </w:r>
      <w:r>
        <w:rPr>
          <w:iCs/>
          <w:i/>
        </w:rPr>
        <w:t xml:space="preserve">Education Administrator</w:t>
      </w:r>
      <w:r>
        <w:t xml:space="preserve"> </w:t>
      </w:r>
      <w:r>
        <w:t xml:space="preserve">market in</w:t>
      </w:r>
      <w:r>
        <w:t xml:space="preserve"> </w:t>
      </w:r>
      <w:r>
        <w:rPr>
          <w:bCs/>
          <w:b/>
        </w:rPr>
        <w:t xml:space="preserve">Russia Moscow</w:t>
      </w:r>
      <w:r>
        <w:t xml:space="preserve"> </w:t>
      </w:r>
      <w:r>
        <w:t xml:space="preserve">focuses on three pillars:</w:t>
      </w:r>
    </w:p>
    <w:p>
      <w:pPr>
        <w:numPr>
          <w:ilvl w:val="0"/>
          <w:numId w:val="1003"/>
        </w:numPr>
        <w:pStyle w:val="Compact"/>
      </w:pPr>
      <w:r>
        <w:rPr>
          <w:bCs/>
          <w:b/>
        </w:rPr>
        <w:t xml:space="preserve">National Expansion within Moscow:</w:t>
      </w:r>
      <w:r>
        <w:t xml:space="preserve"> </w:t>
      </w:r>
      <w:r>
        <w:t xml:space="preserve">Targeting all 19 districts of Moscow City with a district-specific sales team, leveraging our existing success in Krasnoselsky and Basmanny districts.</w:t>
      </w:r>
    </w:p>
    <w:p>
      <w:pPr>
        <w:numPr>
          <w:ilvl w:val="0"/>
          <w:numId w:val="1003"/>
        </w:numPr>
        <w:pStyle w:val="Compact"/>
      </w:pPr>
      <w:r>
        <w:rPr>
          <w:bCs/>
          <w:b/>
        </w:rPr>
        <w:t xml:space="preserve">Government Tender Readiness:</w:t>
      </w:r>
      <w:r>
        <w:t xml:space="preserve"> </w:t>
      </w:r>
      <w:r>
        <w:t xml:space="preserve">Preparing solutions specifically for the upcoming "Smart Education" tenders by the Moscow Department of Education, emphasizing AI-driven analytics for student performance prediction – a feature requested by 73% of surveyed</w:t>
      </w:r>
      <w:r>
        <w:t xml:space="preserve"> </w:t>
      </w:r>
      <w:r>
        <w:rPr>
          <w:iCs/>
          <w:i/>
        </w:rPr>
        <w:t xml:space="preserve">Education Administrator</w:t>
      </w:r>
      <w:r>
        <w:t xml:space="preserve">s in Moscow.</w:t>
      </w:r>
    </w:p>
    <w:p>
      <w:pPr>
        <w:numPr>
          <w:ilvl w:val="0"/>
          <w:numId w:val="1003"/>
        </w:numPr>
        <w:pStyle w:val="Compact"/>
      </w:pPr>
      <w:r>
        <w:rPr>
          <w:bCs/>
          <w:b/>
        </w:rPr>
        <w:t xml:space="preserve">Partnership Ecosystem:</w:t>
      </w:r>
      <w:r>
        <w:t xml:space="preserve"> </w:t>
      </w:r>
      <w:r>
        <w:t xml:space="preserve">Integrating with leading Russian EdTech startups (e.g., "Uchi.ru" local partners) to create a comprehensive ecosystem exclusively for the Moscow market, enhancing value for the</w:t>
      </w:r>
      <w:r>
        <w:t xml:space="preserve"> </w:t>
      </w:r>
      <w:r>
        <w:rPr>
          <w:iCs/>
          <w:i/>
        </w:rPr>
        <w:t xml:space="preserve">Education Administrator</w:t>
      </w:r>
      <w:r>
        <w:t xml:space="preserve">.</w:t>
      </w:r>
    </w:p>
    <w:bookmarkEnd w:id="24"/>
    <w:bookmarkStart w:id="25" w:name="X61c1b5f2479449715f528f8e8b392786f1498f1"/>
    <w:p>
      <w:pPr>
        <w:pStyle w:val="Heading2"/>
      </w:pPr>
      <w:r>
        <w:t xml:space="preserve">Conclusion: The Unmatched Value Proposition</w:t>
      </w:r>
    </w:p>
    <w:p>
      <w:pPr>
        <w:pStyle w:val="FirstParagraph"/>
      </w:pPr>
      <w:r>
        <w:t xml:space="preserve">This Sales Report unequivocally demonstrates that our education management platform is not merely a tool, but the essential operational backbone for any forward-thinking</w:t>
      </w:r>
      <w:r>
        <w:t xml:space="preserve"> </w:t>
      </w:r>
      <w:r>
        <w:rPr>
          <w:iCs/>
          <w:i/>
        </w:rPr>
        <w:t xml:space="preserve">Education Administrator</w:t>
      </w:r>
      <w:r>
        <w:t xml:space="preserve"> </w:t>
      </w:r>
      <w:r>
        <w:t xml:space="preserve">navigating the complexities of the educational sector in</w:t>
      </w:r>
      <w:r>
        <w:t xml:space="preserve"> </w:t>
      </w:r>
      <w:r>
        <w:rPr>
          <w:bCs/>
          <w:b/>
        </w:rPr>
        <w:t xml:space="preserve">Russia Moscow</w:t>
      </w:r>
      <w:r>
        <w:t xml:space="preserve">. Our market-leading adoption in Moscow stems from relentless focus on local regulatory requirements, cultural relevance, and demonstrable administrative efficiency gains. We have moved beyond selling software to becoming the trusted strategic partner for education administration transformation across Russia's capital. The data is clear: when it comes to empowering the</w:t>
      </w:r>
      <w:r>
        <w:t xml:space="preserve"> </w:t>
      </w:r>
      <w:r>
        <w:rPr>
          <w:iCs/>
          <w:i/>
        </w:rPr>
        <w:t xml:space="preserve">Education Administrator</w:t>
      </w:r>
      <w:r>
        <w:t xml:space="preserve"> </w:t>
      </w:r>
      <w:r>
        <w:t xml:space="preserve">within</w:t>
      </w:r>
      <w:r>
        <w:t xml:space="preserve"> </w:t>
      </w:r>
      <w:r>
        <w:rPr>
          <w:bCs/>
          <w:b/>
        </w:rPr>
        <w:t xml:space="preserve">Russia Moscow</w:t>
      </w:r>
      <w:r>
        <w:t xml:space="preserve">, our solution delivers unmatched results, driving sustainable growth and market leadership in one of Europe's most dynamic educational markets.</w:t>
      </w:r>
    </w:p>
    <w:p>
      <w:pPr>
        <w:pStyle w:val="BodyText"/>
      </w:pPr>
      <w:r>
        <w:rPr>
          <w:iCs/>
          <w:i/>
        </w:rPr>
        <w:t xml:space="preserve">This report covers sales performance and strategy specifically for Education Administrator roles serving institutions across Moscow, Russia. All data reflects the Russia Moscow market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Education Administrator Solutions in Russia Moscow Market</dc:title>
  <dc:creator/>
  <dc:language>en</dc:language>
  <cp:keywords/>
  <dcterms:created xsi:type="dcterms:W3CDTF">2026-07-21T03:22:51Z</dcterms:created>
  <dcterms:modified xsi:type="dcterms:W3CDTF">2026-07-21T03:22:51Z</dcterms:modified>
</cp:coreProperties>
</file>

<file path=docProps/custom.xml><?xml version="1.0" encoding="utf-8"?>
<Properties xmlns="http://schemas.openxmlformats.org/officeDocument/2006/custom-properties" xmlns:vt="http://schemas.openxmlformats.org/officeDocument/2006/docPropsVTypes"/>
</file>