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aa80a3a9c16e244028b111c2ac7c640ccf7f401"/>
    <w:p>
      <w:pPr>
        <w:pStyle w:val="Heading1"/>
      </w:pPr>
      <w:r>
        <w:t xml:space="preserve">Annual Sales Report: Education Administrator Performance Metrics - Singapore Singapore</w:t>
      </w:r>
    </w:p>
    <w:bookmarkStart w:id="20" w:name="executive-summary"/>
    <w:p>
      <w:pPr>
        <w:pStyle w:val="Heading2"/>
      </w:pPr>
      <w:r>
        <w:t xml:space="preserve">Executive Summary</w:t>
      </w:r>
    </w:p>
    <w:p>
      <w:pPr>
        <w:pStyle w:val="FirstParagraph"/>
      </w:pPr>
      <w:r>
        <w:t xml:space="preserve">This comprehensive Sales Report details the exceptional performance of our Education Administrator within the dynamic educational landscape of Singapore Singapore. As a pivotal role driving enrollment growth and strategic partnerships, this position has directly contributed to a 34% increase in institutional revenue during FY2023-2024. The report validates how the Education Administrator's specialized approach aligns with Singapore's national education priorities while delivering measurable sales outcomes across all key performance indicators. This Sales Report serves as critical evidence of our administrator's impact on Singapore Singapore's premium education market.</w:t>
      </w:r>
    </w:p>
    <w:bookmarkEnd w:id="20"/>
    <w:bookmarkStart w:id="21" w:name="Xea9691cd12f9cf3d446b4bec3021cb8923a2cff"/>
    <w:p>
      <w:pPr>
        <w:pStyle w:val="Heading2"/>
      </w:pPr>
      <w:r>
        <w:t xml:space="preserve">Role Context: Education Administrator in Singapore Singapore</w:t>
      </w:r>
    </w:p>
    <w:p>
      <w:pPr>
        <w:pStyle w:val="FirstParagraph"/>
      </w:pPr>
      <w:r>
        <w:t xml:space="preserve">In the highly competitive educational ecosystem of Singapore Singapore, the Education Administrator functions as a strategic sales and operational catalyst. Unlike traditional administrative roles, this position integrates sales acumen with deep understanding of MOE (Ministry of Education) frameworks and international accreditation standards. The administrator's primary mandate is to drive enrollment growth while ensuring full compliance with Singapore's stringent education regulations – making them indispensable for institutions serving Singapore Singapore's elite academic market.</w:t>
      </w:r>
    </w:p>
    <w:p>
      <w:pPr>
        <w:pStyle w:val="BodyText"/>
      </w:pPr>
      <w:r>
        <w:t xml:space="preserve">With 92% of Singaporean parents prioritizing educational quality over cost (Singapore Department of Statistics, 2023), the Education Administrator must excel in converting inquiries to enrollments through data-driven sales strategies. This Sales Report demonstrates how our administrator consistently outperformed benchmarks by leveraging Singapore's unique education market dynamics.</w:t>
      </w:r>
    </w:p>
    <w:bookmarkEnd w:id="21"/>
    <w:bookmarkStart w:id="22" w:name="quantitative-performance-analysis"/>
    <w:p>
      <w:pPr>
        <w:pStyle w:val="Heading2"/>
      </w:pPr>
      <w:r>
        <w:t xml:space="preserve">Quantitative Performance Analysis</w:t>
      </w:r>
    </w:p>
    <w:p>
      <w:pPr>
        <w:pStyle w:val="FirstParagraph"/>
      </w:pPr>
      <w:r>
        <w:t xml:space="preserve">KPI Metric</w:t>
      </w:r>
    </w:p>
    <w:p>
      <w:pPr>
        <w:pStyle w:val="BodyText"/>
      </w:pPr>
      <w:r>
        <w:t xml:space="preserve">Target (FY23)</w:t>
      </w:r>
    </w:p>
    <w:p>
      <w:pPr>
        <w:pStyle w:val="BodyText"/>
      </w:pPr>
      <w:r>
        <w:t xml:space="preserve">Actual (FY24)</w:t>
      </w:r>
    </w:p>
    <w:p>
      <w:pPr>
        <w:pStyle w:val="BodyText"/>
      </w:pPr>
      <w:r>
        <w:t xml:space="preserve">Variance</w:t>
      </w:r>
    </w:p>
    <w:p>
      <w:pPr>
        <w:pStyle w:val="BodyText"/>
      </w:pPr>
      <w:r>
        <w:t xml:space="preserve">Enrollment Growth Rate</w:t>
      </w:r>
    </w:p>
    <w:p>
      <w:pPr>
        <w:pStyle w:val="BodyText"/>
      </w:pPr>
      <w:r>
        <w:t xml:space="preserve">18%</w:t>
      </w:r>
    </w:p>
    <w:p>
      <w:pPr>
        <w:pStyle w:val="BodyText"/>
      </w:pPr>
      <w:r>
        <w:t xml:space="preserve">34.7%</w:t>
      </w:r>
    </w:p>
    <w:p>
      <w:pPr>
        <w:pStyle w:val="BodyText"/>
      </w:pPr>
      <w:r>
        <w:t xml:space="preserve">+16.7%</w:t>
      </w:r>
    </w:p>
    <w:p>
      <w:pPr>
        <w:pStyle w:val="BodyText"/>
      </w:pPr>
      <w:r>
        <w:t xml:space="preserve">Parent Acquisition Cost (S$)</w:t>
      </w:r>
    </w:p>
    <w:p>
      <w:pPr>
        <w:pStyle w:val="BodyText"/>
      </w:pPr>
      <w:r>
        <w:t xml:space="preserve">420</w:t>
      </w:r>
    </w:p>
    <w:p>
      <w:pPr>
        <w:pStyle w:val="BodyText"/>
      </w:pPr>
      <w:r>
        <w:t xml:space="preserve">&lt;</w:t>
      </w:r>
    </w:p>
    <w:p>
      <w:pPr>
        <w:pStyle w:val="BodyText"/>
      </w:pPr>
      <w:r>
        <w:t xml:space="preserve">295</w:t>
      </w:r>
    </w:p>
    <w:p>
      <w:pPr>
        <w:pStyle w:val="BodyText"/>
      </w:pPr>
      <w:r>
        <w:t xml:space="preserve">International Student Placement Rate</w:t>
      </w:r>
    </w:p>
    <w:p>
      <w:pPr>
        <w:pStyle w:val="BodyText"/>
      </w:pPr>
      <w:r>
        <w:t xml:space="preserve">Singapore Singapore-specific initiative: 100% placement rate in top-tier schools (vs industry avg. 78%)</w:t>
      </w:r>
    </w:p>
    <w:p>
      <w:pPr>
        <w:pStyle w:val="BodyText"/>
      </w:pPr>
      <w:r>
        <w:t xml:space="preserve">Partnership Revenue Generated</w:t>
      </w:r>
    </w:p>
    <w:p>
      <w:pPr>
        <w:pStyle w:val="BodyText"/>
      </w:pPr>
      <w:r>
        <w:t xml:space="preserve">S$1.2M</w:t>
      </w:r>
    </w:p>
    <w:p>
      <w:pPr>
        <w:pStyle w:val="BodyText"/>
      </w:pPr>
      <w:r>
        <w:t xml:space="preserve">S$2.85M</w:t>
      </w:r>
    </w:p>
    <w:p>
      <w:pPr>
        <w:pStyle w:val="BodyText"/>
      </w:pPr>
      <w:r>
        <w:t xml:space="preserve">+137.5%</w:t>
      </w:r>
    </w:p>
    <w:p>
      <w:pPr>
        <w:pStyle w:val="BodyText"/>
      </w:pPr>
      <w:r>
        <w:t xml:space="preserve">These figures underscore the Education Administrator's mastery of Singapore Singapore's market complexities. The 34.7% enrollment surge directly resulted from tailored sales strategies addressing specific parental pain points identified through surveys at Singaporean institutions like Raffles Institution and NUS High School. Notably, the administrator achieved a 42% reduction in acquisition costs by implementing digital lead-nurturing systems compliant with Singapore's Personal Data Protection Act (PDPA).</w:t>
      </w:r>
    </w:p>
    <w:bookmarkEnd w:id="22"/>
    <w:bookmarkStart w:id="23" w:name="X67a7bd43ba5667a140d09cc3be3de5a17f736d6"/>
    <w:p>
      <w:pPr>
        <w:pStyle w:val="Heading2"/>
      </w:pPr>
      <w:r>
        <w:t xml:space="preserve">Strategic Sales Initiatives Driving Success</w:t>
      </w:r>
    </w:p>
    <w:p>
      <w:pPr>
        <w:pStyle w:val="FirstParagraph"/>
      </w:pPr>
      <w:r>
        <w:rPr>
          <w:bCs/>
          <w:b/>
        </w:rPr>
        <w:t xml:space="preserve">1. MOE Compliance Integration:</w:t>
      </w:r>
      <w:r>
        <w:t xml:space="preserve"> </w:t>
      </w:r>
      <w:r>
        <w:t xml:space="preserve">The Education Administrator revolutionized sales processes by embedding MOE curriculum requirements into every enrollment conversation. This Singapore Singapore-focused approach eliminated "fit" objections – a critical factor where 63% of parents previously abandoned applications due to mismatched program alignment (Singapore Education Review, Q2 2024).</w:t>
      </w:r>
    </w:p>
    <w:p>
      <w:pPr>
        <w:pStyle w:val="BodyText"/>
      </w:pPr>
      <w:r>
        <w:rPr>
          <w:bCs/>
          <w:b/>
        </w:rPr>
        <w:t xml:space="preserve">2. Strategic Partnership Ecosystem:</w:t>
      </w:r>
      <w:r>
        <w:t xml:space="preserve"> </w:t>
      </w:r>
      <w:r>
        <w:t xml:space="preserve">By forging alliances with Singapore's top-tier organizations including the National University of Singapore (NUS), Temasek Foundation, and SkillsFuture, the administrator secured S$1.8M in dedicated funding streams. These partnerships directly contributed to 37% of new enrollments – a figure unmatched by competitors operating outside Singapore Singapore's strategic network.</w:t>
      </w:r>
    </w:p>
    <w:p>
      <w:pPr>
        <w:pStyle w:val="BodyText"/>
      </w:pPr>
      <w:r>
        <w:rPr>
          <w:bCs/>
          <w:b/>
        </w:rPr>
        <w:t xml:space="preserve">3. Data-Driven Parent Engagement:</w:t>
      </w:r>
      <w:r>
        <w:t xml:space="preserve"> </w:t>
      </w:r>
      <w:r>
        <w:t xml:space="preserve">Utilizing AI-powered analytics of Singaporean parental behavior patterns (across platforms like WhatsApp and Facebook, predominant in local communication), the administrator implemented hyper-personalized follow-up sequences. This resulted in a 58% increase in conversion rates from initial inquiry to enrollment – a benchmark that now sets industry standards for Singapore Singapore institutions.</w:t>
      </w:r>
    </w:p>
    <w:bookmarkEnd w:id="23"/>
    <w:bookmarkStart w:id="24" w:name="Xfe5b5c783aa816769364fd1a55a59a64b619367"/>
    <w:p>
      <w:pPr>
        <w:pStyle w:val="Heading2"/>
      </w:pPr>
      <w:r>
        <w:t xml:space="preserve">Market Challenges Overcome (Singapore Singapore Context)</w:t>
      </w:r>
    </w:p>
    <w:p>
      <w:pPr>
        <w:pStyle w:val="FirstParagraph"/>
      </w:pPr>
      <w:r>
        <w:t xml:space="preserve">Operating within Singapore's highly regulated education sector presented unique hurdles. The Education Administrator successfully navigated two critical challenges:</w:t>
      </w:r>
    </w:p>
    <w:p>
      <w:pPr>
        <w:numPr>
          <w:ilvl w:val="0"/>
          <w:numId w:val="1001"/>
        </w:numPr>
        <w:pStyle w:val="Compact"/>
      </w:pPr>
      <w:r>
        <w:rPr>
          <w:bCs/>
          <w:b/>
        </w:rPr>
        <w:t xml:space="preserve">Post-Pandemic Parental Skepticism:</w:t>
      </w:r>
      <w:r>
        <w:t xml:space="preserve"> </w:t>
      </w:r>
      <w:r>
        <w:t xml:space="preserve">After the 2021-2023 disruption, 74% of Singaporean parents required evidence-based reassurance (Singapore Family Wellbeing Survey). The administrator countered this by developing "Transparent Learning Journeys" – detailed digital roadmaps showing curriculum alignment with PSLE/IB pathways, directly addressing Singapore-specific parental concerns.</w:t>
      </w:r>
    </w:p>
    <w:p>
      <w:pPr>
        <w:numPr>
          <w:ilvl w:val="0"/>
          <w:numId w:val="1001"/>
        </w:numPr>
        <w:pStyle w:val="Compact"/>
      </w:pPr>
      <w:r>
        <w:rPr>
          <w:bCs/>
          <w:b/>
        </w:rPr>
        <w:t xml:space="preserve">Competitive Differentiation:</w:t>
      </w:r>
      <w:r>
        <w:t xml:space="preserve"> </w:t>
      </w:r>
      <w:r>
        <w:t xml:space="preserve">With 127 international schools in Singapore Singapore competing for the same affluent demographic, the administrator implemented a "Singapore Premium Value Matrix" highlighting institutional advantages against local competitors – including MOE recognition and bilingual pedagogy. This positioned our institution as the premium choice for 89% of new enrollments.</w:t>
      </w:r>
    </w:p>
    <w:bookmarkEnd w:id="24"/>
    <w:bookmarkStart w:id="25" w:name="Xc53b41b896b72d4315e05b733b7046dc65180f7"/>
    <w:p>
      <w:pPr>
        <w:pStyle w:val="Heading2"/>
      </w:pPr>
      <w:r>
        <w:t xml:space="preserve">Future Strategy: Scaling Success in Singapore Singapore</w:t>
      </w:r>
    </w:p>
    <w:p>
      <w:pPr>
        <w:pStyle w:val="FirstParagraph"/>
      </w:pPr>
      <w:r>
        <w:t xml:space="preserve">The Sales Report concludes with three priority initiatives for FY2024-2025:</w:t>
      </w:r>
    </w:p>
    <w:p>
      <w:pPr>
        <w:numPr>
          <w:ilvl w:val="0"/>
          <w:numId w:val="1002"/>
        </w:numPr>
        <w:pStyle w:val="Compact"/>
      </w:pPr>
      <w:r>
        <w:rPr>
          <w:bCs/>
          <w:b/>
        </w:rPr>
        <w:t xml:space="preserve">Expansion into EdTech Sales:</w:t>
      </w:r>
      <w:r>
        <w:t xml:space="preserve"> </w:t>
      </w:r>
      <w:r>
        <w:t xml:space="preserve">Leveraging the administrator's deep understanding of Singapore's Smart Nation Education Plan, we'll launch a dedicated sales division for educational technology solutions. This aligns with the government's S$1 billion investment in edtech by 2025.</w:t>
      </w:r>
    </w:p>
    <w:p>
      <w:pPr>
        <w:numPr>
          <w:ilvl w:val="0"/>
          <w:numId w:val="1002"/>
        </w:numPr>
        <w:pStyle w:val="Compact"/>
      </w:pPr>
      <w:r>
        <w:rPr>
          <w:bCs/>
          <w:b/>
        </w:rPr>
        <w:t xml:space="preserve">Singapore-Specific Scholarship Program:</w:t>
      </w:r>
      <w:r>
        <w:t xml:space="preserve"> </w:t>
      </w:r>
      <w:r>
        <w:t xml:space="preserve">Creating a new merit-based scholarship exclusively for Singapore Singapore students – expected to generate S$450K in direct enrollment revenue while strengthening community ties.</w:t>
      </w:r>
    </w:p>
    <w:p>
      <w:pPr>
        <w:numPr>
          <w:ilvl w:val="0"/>
          <w:numId w:val="1002"/>
        </w:numPr>
        <w:pStyle w:val="Compact"/>
      </w:pPr>
      <w:r>
        <w:rPr>
          <w:bCs/>
          <w:b/>
        </w:rPr>
        <w:t xml:space="preserve">MOE Partnership Acceleration:</w:t>
      </w:r>
      <w:r>
        <w:t xml:space="preserve"> </w:t>
      </w:r>
      <w:r>
        <w:t xml:space="preserve">Formalizing sales pathways with MOE's Education Group to secure 15% more government-linked enrollments through the upcoming "Future Schools" initiative.</w:t>
      </w:r>
    </w:p>
    <w:bookmarkEnd w:id="25"/>
    <w:bookmarkStart w:id="26" w:name="conclusion"/>
    <w:p>
      <w:pPr>
        <w:pStyle w:val="Heading2"/>
      </w:pPr>
      <w:r>
        <w:t xml:space="preserve">Conclusion</w:t>
      </w:r>
    </w:p>
    <w:p>
      <w:pPr>
        <w:pStyle w:val="FirstParagraph"/>
      </w:pPr>
      <w:r>
        <w:t xml:space="preserve">This Sales Report unequivocally demonstrates that our Education Administrator has become a strategic asset for institutional growth in Singapore Singapore. By transforming traditional administrative functions into revenue-generating sales leadership, they have not only met but exceeded all financial and operational targets within the unique regulatory and cultural context of Singapore. The administrator's ability to translate global education best practices into Singapore-specific sales outcomes – while maintaining full compliance with MOE standards – represents a new benchmark for educational leadership in Asia.</w:t>
      </w:r>
    </w:p>
    <w:p>
      <w:pPr>
        <w:pStyle w:val="BodyText"/>
      </w:pPr>
      <w:r>
        <w:t xml:space="preserve">As Singapore Singapore continues its trajectory as an education hub, institutions without a dedicated Education Administrator capable of driving targeted sales performance will face significant competitive disadvantages. This Sales Report provides the clear evidence needed to validate the role's critical importance and secure continued investment in this specialized position for future growth. We project that sustaining this administrator's current performance will unlock S$4.2M in additional revenue by FY2025-2026 – a direct reflection of their indispensable contribution to Singapore Singapore's educational excellence.</w:t>
      </w:r>
    </w:p>
    <w:p>
      <w:pPr>
        <w:pStyle w:val="BodyText"/>
      </w:pPr>
      <w:r>
        <w:rPr>
          <w:bCs/>
          <w:b/>
        </w:rPr>
        <w:t xml:space="preserve">Prepared By:</w:t>
      </w:r>
      <w:r>
        <w:t xml:space="preserve"> </w:t>
      </w:r>
      <w:r>
        <w:t xml:space="preserve">Institutional Sales Strategy Division</w:t>
      </w:r>
      <w:r>
        <w:br/>
      </w:r>
      <w:r>
        <w:rPr>
          <w:bCs/>
          <w:b/>
        </w:rPr>
        <w:t xml:space="preserve">Date:</w:t>
      </w:r>
      <w:r>
        <w:t xml:space="preserve"> </w:t>
      </w:r>
      <w:r>
        <w:t xml:space="preserve">October 26, 2023</w:t>
      </w:r>
      <w:r>
        <w:br/>
      </w:r>
      <w:r>
        <w:rPr>
          <w:bCs/>
          <w:b/>
        </w:rPr>
        <w:t xml:space="preserve">Report Reference:</w:t>
      </w:r>
      <w:r>
        <w:t xml:space="preserve"> </w:t>
      </w:r>
      <w:r>
        <w:t xml:space="preserve">EDU-SALES-SG-ADMIN-2024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Singapore Singapore</dc:title>
  <dc:creator/>
  <dc:language>en</dc:language>
  <cp:keywords/>
  <dcterms:created xsi:type="dcterms:W3CDTF">2025-12-11T15:59:17Z</dcterms:created>
  <dcterms:modified xsi:type="dcterms:W3CDTF">2025-12-11T15:59:17Z</dcterms:modified>
</cp:coreProperties>
</file>

<file path=docProps/custom.xml><?xml version="1.0" encoding="utf-8"?>
<Properties xmlns="http://schemas.openxmlformats.org/officeDocument/2006/custom-properties" xmlns:vt="http://schemas.openxmlformats.org/officeDocument/2006/docPropsVTypes"/>
</file>