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9a80c87696caf48ccac727c9483704f3c078db3"/>
    <w:p>
      <w:pPr>
        <w:pStyle w:val="Heading1"/>
      </w:pPr>
      <w:r>
        <w:t xml:space="preserve">Comprehensive Sales Report: Education Administrator Performance Analysis - Cape Town,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Western Cape Department of Education (WCDE) Executive Leadership &amp; Stakeholders</w:t>
      </w:r>
      <w:r>
        <w:br/>
      </w:r>
      <w:r>
        <w:rPr>
          <w:bCs/>
          <w:b/>
        </w:rPr>
        <w:t xml:space="preserve">Report Period:</w:t>
      </w:r>
      <w:r>
        <w:t xml:space="preserve"> </w:t>
      </w:r>
      <w:r>
        <w:t xml:space="preserve">Q3 2023 (July 1 - September 30, 2023)</w:t>
      </w:r>
      <w:r>
        <w:br/>
      </w:r>
      <w:r>
        <w:rPr>
          <w:bCs/>
          <w:b/>
        </w:rPr>
        <w:t xml:space="preserve">Prepared By:</w:t>
      </w:r>
      <w:r>
        <w:t xml:space="preserve"> </w:t>
      </w:r>
      <w:r>
        <w:t xml:space="preserve">Strategic Education Management Division, Cape Town Office</w:t>
      </w:r>
    </w:p>
    <w:bookmarkStart w:id="20" w:name="i.-executive-summary"/>
    <w:p>
      <w:pPr>
        <w:pStyle w:val="Heading2"/>
      </w:pPr>
      <w:r>
        <w:t xml:space="preserve">I. Executive Summary</w:t>
      </w:r>
    </w:p>
    <w:p>
      <w:pPr>
        <w:pStyle w:val="FirstParagraph"/>
      </w:pPr>
      <w:r>
        <w:t xml:space="preserve">This Sales Report details the operational and strategic performance of our Education Administrator team within the Cape Town metropolitan area, South Africa. Unlike conventional sales metrics, this report measures "educational outcomes" as our primary "sales" – encompassing student enrollment conversion rates, resource utilization efficiency, community engagement success, and program adoption within Western Cape public schools. The quarter demonstrated significant progress in addressing systemic challenges specific to the diverse educational landscape of Cape Town, with a notable 12% increase in student retention rates across targeted township schools and a 95% satisfaction rate among school governing bodies (SGBs) regarding administrative support. This report underscores how proactive Education Administrator leadership directly drives measurable educational "value" for communities across South Africa's second-largest city.</w:t>
      </w:r>
    </w:p>
    <w:bookmarkEnd w:id="20"/>
    <w:bookmarkStart w:id="21" w:name="Xd934dd622950dc99551bd55a25e155d7abb30b9"/>
    <w:p>
      <w:pPr>
        <w:pStyle w:val="Heading2"/>
      </w:pPr>
      <w:r>
        <w:t xml:space="preserve">II. Current Performance: Cape Town Context</w:t>
      </w:r>
    </w:p>
    <w:p>
      <w:pPr>
        <w:pStyle w:val="FirstParagraph"/>
      </w:pPr>
      <w:r>
        <w:t xml:space="preserve">Cape Town presents unique challenges and opportunities within the South African education sector. With a population exceeding 4 million, the city's schools serve students from affluent suburbs like Bantry Bay to high-needs communities such as Khayelitsha and Gugulethu. Our Education Administrator team manages over 350 public schools across these diverse districts. Key Q3 metrics include:</w:t>
      </w:r>
    </w:p>
    <w:p>
      <w:pPr>
        <w:numPr>
          <w:ilvl w:val="0"/>
          <w:numId w:val="1001"/>
        </w:numPr>
        <w:pStyle w:val="Compact"/>
      </w:pPr>
      <w:r>
        <w:rPr>
          <w:bCs/>
          <w:b/>
        </w:rPr>
        <w:t xml:space="preserve">Enrollment Conversion Rate:</w:t>
      </w:r>
      <w:r>
        <w:t xml:space="preserve"> </w:t>
      </w:r>
      <w:r>
        <w:t xml:space="preserve">Achieved 87% (vs. target of 82%) for Grade R to Grade 1 placements, exceeding provincial averages by 5 points through targeted community outreach in informal settlements.</w:t>
      </w:r>
    </w:p>
    <w:p>
      <w:pPr>
        <w:numPr>
          <w:ilvl w:val="0"/>
          <w:numId w:val="1001"/>
        </w:numPr>
        <w:pStyle w:val="Compact"/>
      </w:pPr>
      <w:r>
        <w:rPr>
          <w:bCs/>
          <w:b/>
        </w:rPr>
        <w:t xml:space="preserve">Resource Allocation Efficiency:</w:t>
      </w:r>
      <w:r>
        <w:t xml:space="preserve"> </w:t>
      </w:r>
      <w:r>
        <w:t xml:space="preserve">Reduced administrative delays in textbook distribution by 30% using a new digital dashboard, ensuring timely classroom readiness for the new academic year across all Cape Town schools.</w:t>
      </w:r>
    </w:p>
    <w:p>
      <w:pPr>
        <w:numPr>
          <w:ilvl w:val="0"/>
          <w:numId w:val="1001"/>
        </w:numPr>
        <w:pStyle w:val="Compact"/>
      </w:pPr>
      <w:r>
        <w:rPr>
          <w:bCs/>
          <w:b/>
        </w:rPr>
        <w:t xml:space="preserve">Stakeholder Engagement:</w:t>
      </w:r>
      <w:r>
        <w:t xml:space="preserve"> </w:t>
      </w:r>
      <w:r>
        <w:t xml:space="preserve">Conducted 120+ community forums with parents and SGBs in Cape Town townships (e.g., Langa, Nyanga), resulting in a 25% increase in parental involvement initiatives – directly addressing the WCDE's "Community as Partner" strategy.</w:t>
      </w:r>
    </w:p>
    <w:p>
      <w:pPr>
        <w:numPr>
          <w:ilvl w:val="0"/>
          <w:numId w:val="1001"/>
        </w:numPr>
        <w:pStyle w:val="Compact"/>
      </w:pPr>
      <w:r>
        <w:rPr>
          <w:bCs/>
          <w:b/>
        </w:rPr>
        <w:t xml:space="preserve">Compliance &amp; Reporting:</w:t>
      </w:r>
      <w:r>
        <w:t xml:space="preserve"> </w:t>
      </w:r>
      <w:r>
        <w:t xml:space="preserve">Achieved 100% on-time submission of provincial funding reports for all Cape Town schools, critical for securing continued state resources under South Africa's National Education Policy Act (NEPA).</w:t>
      </w:r>
    </w:p>
    <w:bookmarkEnd w:id="21"/>
    <w:bookmarkStart w:id="26" w:name="X27e8bd90cf2628c39474deb3d9f0135b596afe0"/>
    <w:p>
      <w:pPr>
        <w:pStyle w:val="Heading2"/>
      </w:pPr>
      <w:r>
        <w:t xml:space="preserve">III. Strategic Initiatives Driving Results (Cape Town Focus)</w:t>
      </w:r>
    </w:p>
    <w:p>
      <w:pPr>
        <w:pStyle w:val="FirstParagraph"/>
      </w:pPr>
      <w:r>
        <w:t xml:space="preserve">Education Administrators in Cape Town implemented three flagship initiatives this quarter, directly aligning with the WCDE's 2023-2025 Strategic Plan:</w:t>
      </w:r>
    </w:p>
    <w:bookmarkStart w:id="22" w:name="Xcbc01f5f040e8f681f6ede900af9d93120a4e96"/>
    <w:p>
      <w:pPr>
        <w:pStyle w:val="Heading3"/>
      </w:pPr>
      <w:r>
        <w:t xml:space="preserve">A. "Bridging the Gap" Digital Literacy Program</w:t>
      </w:r>
    </w:p>
    <w:p>
      <w:pPr>
        <w:pStyle w:val="FirstParagraph"/>
      </w:pPr>
      <w:r>
        <w:t xml:space="preserve">Launched in partnership with Cape Town-based tech NGO CodeX, this initiative provided tablets and offline digital learning resources to 1,850 learners in under-resourced schools (e.g., Kuyasa Primary, Khayelitsha). Education Administrators managed logistics, teacher training, and community roll-out.</w:t>
      </w:r>
      <w:r>
        <w:t xml:space="preserve"> </w:t>
      </w:r>
      <w:r>
        <w:rPr>
          <w:iCs/>
          <w:i/>
        </w:rPr>
        <w:t xml:space="preserve">Result:</w:t>
      </w:r>
      <w:r>
        <w:t xml:space="preserve"> </w:t>
      </w:r>
      <w:r>
        <w:t xml:space="preserve">78% of participating students showed improved foundational literacy scores within 90 days – a key "sales" metric for educational equity in South Africa.</w:t>
      </w:r>
    </w:p>
    <w:bookmarkEnd w:id="22"/>
    <w:bookmarkStart w:id="23" w:name="X0592a00074601a66197762bad175e74196aafc3"/>
    <w:p>
      <w:pPr>
        <w:pStyle w:val="Heading3"/>
      </w:pPr>
      <w:r>
        <w:t xml:space="preserve">B. School Infrastructure Optimization Project</w:t>
      </w:r>
    </w:p>
    <w:p>
      <w:pPr>
        <w:pStyle w:val="FirstParagraph"/>
      </w:pPr>
      <w:r>
        <w:t xml:space="preserve">Addressing Cape Town's aging school infrastructure, Education Administrators coordinated with the City of Cape Town and provincial engineers to prioritize repairs at 42 schools facing critical safety issues. This included upgrading electrical systems in Athlone schools and providing sanitation facilities in Woodstock township schools.</w:t>
      </w:r>
      <w:r>
        <w:t xml:space="preserve"> </w:t>
      </w:r>
      <w:r>
        <w:rPr>
          <w:iCs/>
          <w:i/>
        </w:rPr>
        <w:t xml:space="preserve">Result:</w:t>
      </w:r>
      <w:r>
        <w:t xml:space="preserve"> </w:t>
      </w:r>
      <w:r>
        <w:t xml:space="preserve">100% of targeted sites met safety standards before the new term, reducing absenteeism by 15% in these areas – directly impacting student "retention" as a core educational outcome.</w:t>
      </w:r>
    </w:p>
    <w:bookmarkEnd w:id="23"/>
    <w:bookmarkStart w:id="25" w:name="Xb728a985d1c12c25fc0e5ee11dd6f229f3500c8"/>
    <w:p>
      <w:pPr>
        <w:pStyle w:val="Heading3"/>
      </w:pPr>
      <w:r>
        <w:t xml:space="preserve">C. Parental Empowerment Workshops (Cape Town Community-Driven)</w:t>
      </w:r>
    </w:p>
    <w:bookmarkStart w:id="24" w:name="Xbe4d412032e49e88abd10c2c5d0a9e36f3f5470"/>
    <w:p>
      <w:pPr>
        <w:pStyle w:val="Heading4"/>
      </w:pPr>
      <w:r>
        <w:t xml:space="preserve">Education Administrators co-designed workshops with local NGOs like Mzansi Childcare and community leaders in Cape Flats. Topics included navigating the South African National Senior Certificate (NSC) system, understanding learner support services, and financial literacy for school funding.</w:t>
      </w:r>
      <w:r>
        <w:t xml:space="preserve"> </w:t>
      </w:r>
      <w:r>
        <w:rPr>
          <w:iCs/>
          <w:i/>
        </w:rPr>
        <w:t xml:space="preserve">Result:</w:t>
      </w:r>
      <w:r>
        <w:t xml:space="preserve"> </w:t>
      </w:r>
      <w:r>
        <w:t xml:space="preserve">92% of attendees reported increased confidence in engaging with schools – a critical "conversion" to active educational partners, vital for South Africa's commitment to inclusive education under the Constitution.</w:t>
      </w:r>
    </w:p>
    <w:bookmarkEnd w:id="24"/>
    <w:bookmarkEnd w:id="25"/>
    <w:bookmarkEnd w:id="26"/>
    <w:bookmarkStart w:id="27" w:name="X33cbaf754a03e10f808181f47eaee8e78e21810"/>
    <w:p>
      <w:pPr>
        <w:pStyle w:val="Heading2"/>
      </w:pPr>
      <w:r>
        <w:t xml:space="preserve">IV. Challenges &amp; Cape Town-Specific Barriers</w:t>
      </w:r>
    </w:p>
    <w:p>
      <w:pPr>
        <w:pStyle w:val="FirstParagraph"/>
      </w:pPr>
      <w:r>
        <w:t xml:space="preserve">Despite progress, significant challenges persist in the Cape Town context:</w:t>
      </w:r>
    </w:p>
    <w:p>
      <w:pPr>
        <w:numPr>
          <w:ilvl w:val="0"/>
          <w:numId w:val="1002"/>
        </w:numPr>
        <w:pStyle w:val="Compact"/>
      </w:pPr>
      <w:r>
        <w:rPr>
          <w:bCs/>
          <w:b/>
        </w:rPr>
        <w:t xml:space="preserve">Funding Disparities:</w:t>
      </w:r>
      <w:r>
        <w:t xml:space="preserve"> </w:t>
      </w:r>
      <w:r>
        <w:t xml:space="preserve">Schools in high-poverty areas (e.g., Bo-Kaap) require 20-30% more administrative support resources per learner than affluent schools (e.g., Constantia), straining the Education Administrator team despite WCDE allocations.</w:t>
      </w:r>
    </w:p>
    <w:p>
      <w:pPr>
        <w:numPr>
          <w:ilvl w:val="0"/>
          <w:numId w:val="1002"/>
        </w:numPr>
        <w:pStyle w:val="Compact"/>
      </w:pPr>
      <w:r>
        <w:rPr>
          <w:bCs/>
          <w:b/>
        </w:rPr>
        <w:t xml:space="preserve">Infrastructure Constraints:</w:t>
      </w:r>
      <w:r>
        <w:t xml:space="preserve"> </w:t>
      </w:r>
      <w:r>
        <w:t xml:space="preserve">Rapid urbanization in Cape Town's outskirts (e.g., Bellville South) outpaces school construction, forcing administrators to manage overcrowded classrooms with limited space – a unique challenge not faced in more rural districts of South Africa.</w:t>
      </w:r>
    </w:p>
    <w:p>
      <w:pPr>
        <w:numPr>
          <w:ilvl w:val="0"/>
          <w:numId w:val="1002"/>
        </w:numPr>
        <w:pStyle w:val="Compact"/>
      </w:pPr>
      <w:r>
        <w:rPr>
          <w:bCs/>
          <w:b/>
        </w:rPr>
        <w:t xml:space="preserve">Community Trust Gaps:</w:t>
      </w:r>
      <w:r>
        <w:t xml:space="preserve"> </w:t>
      </w:r>
      <w:r>
        <w:t xml:space="preserve">Historical underinvestment in communities like Crossroads necessitates extra effort from Education Administrators to build trust before engagement initiatives yield results, impacting the "sales" cycle for community programs.</w:t>
      </w:r>
    </w:p>
    <w:bookmarkEnd w:id="27"/>
    <w:bookmarkStart w:id="28" w:name="v.-recommendations-for-q4-2023"/>
    <w:p>
      <w:pPr>
        <w:pStyle w:val="Heading2"/>
      </w:pPr>
      <w:r>
        <w:t xml:space="preserve">V. Recommendations for Q4 2023</w:t>
      </w:r>
    </w:p>
    <w:p>
      <w:pPr>
        <w:pStyle w:val="FirstParagraph"/>
      </w:pPr>
      <w:r>
        <w:t xml:space="preserve">To sustain and scale successes in South Africa's Cape Town education ecosystem, we recommend:</w:t>
      </w:r>
    </w:p>
    <w:p>
      <w:pPr>
        <w:numPr>
          <w:ilvl w:val="0"/>
          <w:numId w:val="1003"/>
        </w:numPr>
        <w:pStyle w:val="Compact"/>
      </w:pPr>
      <w:r>
        <w:rPr>
          <w:bCs/>
          <w:b/>
        </w:rPr>
        <w:t xml:space="preserve">Expand "Bridging the Gap" to 10 additional schools</w:t>
      </w:r>
      <w:r>
        <w:t xml:space="preserve"> </w:t>
      </w:r>
      <w:r>
        <w:t xml:space="preserve">in Eastern Cape Town (e.g., Mitchells Plain) based on Q3 pilot data – directly addressing regional educational inequity.</w:t>
      </w:r>
    </w:p>
    <w:p>
      <w:pPr>
        <w:numPr>
          <w:ilvl w:val="0"/>
          <w:numId w:val="1003"/>
        </w:numPr>
        <w:pStyle w:val="Compact"/>
      </w:pPr>
      <w:r>
        <w:rPr>
          <w:bCs/>
          <w:b/>
        </w:rPr>
        <w:t xml:space="preserve">Pilot a Mobile Administration Unit</w:t>
      </w:r>
      <w:r>
        <w:t xml:space="preserve"> </w:t>
      </w:r>
      <w:r>
        <w:t xml:space="preserve">for Cape Town townships using converted municipal vehicles, enabling Education Administrators to conduct on-site SGB meetings and resource audits in underserved communities (e.g., Langa), reducing travel time by 45%.</w:t>
      </w:r>
    </w:p>
    <w:p>
      <w:pPr>
        <w:numPr>
          <w:ilvl w:val="0"/>
          <w:numId w:val="1003"/>
        </w:numPr>
        <w:pStyle w:val="Compact"/>
      </w:pPr>
      <w:r>
        <w:rPr>
          <w:bCs/>
          <w:b/>
        </w:rPr>
        <w:t xml:space="preserve">Integrate Provincial Data Systems</w:t>
      </w:r>
      <w:r>
        <w:t xml:space="preserve"> </w:t>
      </w:r>
      <w:r>
        <w:t xml:space="preserve">with Cape Town's Community Safety Initiative (CSI) databases to better identify at-risk students needing administrative support – enhancing the "sales" pipeline for intervention programs.</w:t>
      </w:r>
    </w:p>
    <w:bookmarkEnd w:id="28"/>
    <w:bookmarkStart w:id="29" w:name="Xb2ec66874a3500d0bf3b3dd27e47e8ca787b38e"/>
    <w:p>
      <w:pPr>
        <w:pStyle w:val="Heading2"/>
      </w:pPr>
      <w:r>
        <w:t xml:space="preserve">VI. Conclusion: The Value of Education Administration in Cape Town</w:t>
      </w:r>
    </w:p>
    <w:p>
      <w:pPr>
        <w:pStyle w:val="FirstParagraph"/>
      </w:pPr>
      <w:r>
        <w:t xml:space="preserve">This Sales Report unequivocally demonstrates that effective Education Administrators are not merely operational staff but strategic catalysts for educational transformation in South Africa's Cape Town. Their work directly converts policy into tangible outcomes: increased enrollment, improved safety, stronger community partnerships, and enhanced learner performance. In a city as complex and dynamic as Cape Town – with its stark contrasts between prosperity and poverty – the Education Administrator’s role is the critical "sales engine" ensuring every child accesses quality education as a fundamental right under South Africa's Constitution. The 12% retention increase in Khayelitsha schools this quarter isn't just a metric; it represents 850 more students empowered to pursue futures that benefit not only themselves but all of South Africa. As the Western Cape Department of Education continues its mission, our Education Administrator team remains the indispensable frontline force delivering measurable "sales" for Cape Town's children.</w:t>
      </w:r>
    </w:p>
    <w:p>
      <w:pPr>
        <w:pStyle w:val="BodyText"/>
      </w:pPr>
      <w:r>
        <w:rPr>
          <w:bCs/>
          <w:b/>
        </w:rPr>
        <w:t xml:space="preserve">Submitted by:</w:t>
      </w:r>
      <w:r>
        <w:t xml:space="preserve"> </w:t>
      </w:r>
      <w:r>
        <w:t xml:space="preserve">Strategic Education Management Division</w:t>
      </w:r>
      <w:r>
        <w:br/>
      </w:r>
      <w:r>
        <w:rPr>
          <w:bCs/>
          <w:b/>
        </w:rPr>
        <w:t xml:space="preserve">Contact:</w:t>
      </w:r>
      <w:r>
        <w:t xml:space="preserve"> </w:t>
      </w:r>
      <w:r>
        <w:t xml:space="preserve">admin@wcde.gov.za | +27 21 930 8000 (Cape Town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Cape Town, South Africa</dc:title>
  <dc:creator/>
  <dc:language>en</dc:language>
  <cp:keywords/>
  <dcterms:created xsi:type="dcterms:W3CDTF">2026-07-25T02:41:00Z</dcterms:created>
  <dcterms:modified xsi:type="dcterms:W3CDTF">2026-07-25T02:41:00Z</dcterms:modified>
</cp:coreProperties>
</file>

<file path=docProps/custom.xml><?xml version="1.0" encoding="utf-8"?>
<Properties xmlns="http://schemas.openxmlformats.org/officeDocument/2006/custom-properties" xmlns:vt="http://schemas.openxmlformats.org/officeDocument/2006/docPropsVTypes"/>
</file>